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72835" w14:textId="0E3C9573" w:rsidR="0004454E" w:rsidRPr="007A4F57" w:rsidRDefault="0004454E" w:rsidP="0004454E">
      <w:pPr>
        <w:spacing w:before="100" w:beforeAutospacing="1" w:after="120"/>
        <w:jc w:val="both"/>
        <w:rPr>
          <w:rFonts w:ascii="Calibri" w:eastAsia="Calibri" w:hAnsi="Calibri"/>
          <w:b/>
          <w:color w:val="2F5496" w:themeColor="accent5" w:themeShade="BF"/>
          <w:spacing w:val="-1"/>
          <w:sz w:val="28"/>
          <w:szCs w:val="28"/>
        </w:rPr>
      </w:pPr>
    </w:p>
    <w:p w14:paraId="2FEC7C0B" w14:textId="06ADF4A2" w:rsidR="005C3E1F" w:rsidRPr="007A4F57" w:rsidRDefault="005C3E1F" w:rsidP="005C3E1F">
      <w:pPr>
        <w:pStyle w:val="Kicker"/>
        <w:jc w:val="center"/>
        <w:rPr>
          <w:rFonts w:asciiTheme="minorHAnsi" w:hAnsiTheme="minorHAnsi" w:cstheme="minorHAnsi"/>
          <w:color w:val="2F5496" w:themeColor="accent5" w:themeShade="BF"/>
          <w:sz w:val="40"/>
          <w:szCs w:val="40"/>
          <w:u w:val="single"/>
        </w:rPr>
      </w:pPr>
      <w:r w:rsidRPr="007A4F57">
        <w:rPr>
          <w:rFonts w:asciiTheme="minorHAnsi" w:hAnsiTheme="minorHAnsi" w:cstheme="minorHAnsi"/>
          <w:color w:val="2F5496" w:themeColor="accent5" w:themeShade="BF"/>
          <w:sz w:val="40"/>
          <w:szCs w:val="40"/>
          <w:u w:val="single"/>
        </w:rPr>
        <w:t>RICORS-ICTUS · INDICADORES DE TRANSFERENCIA</w:t>
      </w:r>
    </w:p>
    <w:p w14:paraId="521FC6F1" w14:textId="51ECCBDC" w:rsidR="005C3E1F" w:rsidRPr="005C3E1F" w:rsidRDefault="005C3E1F" w:rsidP="005C3E1F">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5C3E1F">
        <w:rPr>
          <w:rFonts w:ascii="Times New Roman" w:eastAsia="Times New Roman" w:hAnsi="Times New Roman" w:cs="Times New Roman"/>
          <w:noProof/>
          <w:sz w:val="24"/>
          <w:szCs w:val="24"/>
          <w:lang w:eastAsia="es-ES"/>
        </w:rPr>
        <w:drawing>
          <wp:inline distT="0" distB="0" distL="0" distR="0" wp14:anchorId="6DD4908D" wp14:editId="0B0BF997">
            <wp:extent cx="3704160" cy="2084698"/>
            <wp:effectExtent l="0" t="0" r="0" b="0"/>
            <wp:docPr id="2" name="Imagen 2" descr="C:\Users\Lidia\Downloads\ChatGPT Image 13 sept 2026, 12_17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dia\Downloads\ChatGPT Image 13 sept 2026, 12_17_0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7756" cy="2103606"/>
                    </a:xfrm>
                    <a:prstGeom prst="rect">
                      <a:avLst/>
                    </a:prstGeom>
                    <a:noFill/>
                    <a:ln>
                      <a:noFill/>
                    </a:ln>
                  </pic:spPr>
                </pic:pic>
              </a:graphicData>
            </a:graphic>
          </wp:inline>
        </w:drawing>
      </w:r>
    </w:p>
    <w:p w14:paraId="016B9EFE" w14:textId="77777777" w:rsidR="005C3E1F" w:rsidRDefault="005C3E1F" w:rsidP="005C3E1F">
      <w:pPr>
        <w:spacing w:after="0" w:line="240" w:lineRule="auto"/>
        <w:outlineLvl w:val="1"/>
        <w:rPr>
          <w:rFonts w:eastAsia="Times New Roman" w:cstheme="minorHAnsi"/>
          <w:b/>
          <w:bCs/>
          <w:sz w:val="24"/>
          <w:szCs w:val="24"/>
          <w:lang w:eastAsia="es-ES"/>
        </w:rPr>
      </w:pPr>
    </w:p>
    <w:p w14:paraId="1C7B73D9" w14:textId="6572D53E" w:rsidR="005C3E1F" w:rsidRPr="005C3E1F" w:rsidRDefault="005C3E1F" w:rsidP="005C3E1F">
      <w:pPr>
        <w:spacing w:after="0" w:line="240" w:lineRule="auto"/>
        <w:outlineLvl w:val="1"/>
        <w:rPr>
          <w:rFonts w:eastAsia="Times New Roman" w:cstheme="minorHAnsi"/>
          <w:b/>
          <w:bCs/>
          <w:sz w:val="24"/>
          <w:szCs w:val="24"/>
          <w:lang w:eastAsia="es-ES"/>
        </w:rPr>
      </w:pPr>
      <w:r w:rsidRPr="005C3E1F">
        <w:rPr>
          <w:rFonts w:eastAsia="Times New Roman" w:cstheme="minorHAnsi"/>
          <w:b/>
          <w:bCs/>
          <w:sz w:val="24"/>
          <w:szCs w:val="24"/>
          <w:lang w:eastAsia="es-ES"/>
        </w:rPr>
        <w:t>Índice</w:t>
      </w:r>
    </w:p>
    <w:p w14:paraId="47181111" w14:textId="77777777" w:rsidR="005C3E1F" w:rsidRPr="005C3E1F" w:rsidRDefault="005C3E1F" w:rsidP="005C3E1F">
      <w:pPr>
        <w:spacing w:after="0" w:line="240" w:lineRule="auto"/>
        <w:rPr>
          <w:rFonts w:eastAsia="Times New Roman" w:cstheme="minorHAnsi"/>
          <w:lang w:eastAsia="es-ES"/>
        </w:rPr>
      </w:pPr>
      <w:r w:rsidRPr="005C3E1F">
        <w:rPr>
          <w:rFonts w:eastAsia="Times New Roman" w:cstheme="minorHAnsi"/>
          <w:b/>
          <w:bCs/>
          <w:lang w:eastAsia="es-ES"/>
        </w:rPr>
        <w:t>1. Transferencia al Sistema Nacional de Salud</w:t>
      </w:r>
      <w:r w:rsidRPr="005C3E1F">
        <w:rPr>
          <w:rFonts w:eastAsia="Times New Roman" w:cstheme="minorHAnsi"/>
          <w:lang w:eastAsia="es-ES"/>
        </w:rPr>
        <w:br/>
        <w:t>1.1. Estrategias, planes y registros que ordenan la atención</w:t>
      </w:r>
      <w:r w:rsidRPr="005C3E1F">
        <w:rPr>
          <w:rFonts w:eastAsia="Times New Roman" w:cstheme="minorHAnsi"/>
          <w:lang w:eastAsia="es-ES"/>
        </w:rPr>
        <w:br/>
        <w:t xml:space="preserve">1.2. Atención </w:t>
      </w:r>
      <w:proofErr w:type="spellStart"/>
      <w:r w:rsidRPr="005C3E1F">
        <w:rPr>
          <w:rFonts w:eastAsia="Times New Roman" w:cstheme="minorHAnsi"/>
          <w:lang w:eastAsia="es-ES"/>
        </w:rPr>
        <w:t>prehospitalaria</w:t>
      </w:r>
      <w:proofErr w:type="spellEnd"/>
      <w:r w:rsidRPr="005C3E1F">
        <w:rPr>
          <w:rFonts w:eastAsia="Times New Roman" w:cstheme="minorHAnsi"/>
          <w:lang w:eastAsia="es-ES"/>
        </w:rPr>
        <w:t>: cambiar lo que ocurre antes de llegar al hospital</w:t>
      </w:r>
      <w:r w:rsidRPr="005C3E1F">
        <w:rPr>
          <w:rFonts w:eastAsia="Times New Roman" w:cstheme="minorHAnsi"/>
          <w:lang w:eastAsia="es-ES"/>
        </w:rPr>
        <w:br/>
        <w:t>1.3. Protocolos y circuitos asistenciales implantados</w:t>
      </w:r>
      <w:r w:rsidRPr="005C3E1F">
        <w:rPr>
          <w:rFonts w:eastAsia="Times New Roman" w:cstheme="minorHAnsi"/>
          <w:lang w:eastAsia="es-ES"/>
        </w:rPr>
        <w:br/>
        <w:t>1.4. Prevención, continuidad y atención centrada en la persona</w:t>
      </w:r>
    </w:p>
    <w:p w14:paraId="01538CBA" w14:textId="77777777" w:rsidR="005C3E1F" w:rsidRPr="005C3E1F" w:rsidRDefault="005C3E1F" w:rsidP="005C3E1F">
      <w:pPr>
        <w:spacing w:after="0" w:line="240" w:lineRule="auto"/>
        <w:rPr>
          <w:rFonts w:eastAsia="Times New Roman" w:cstheme="minorHAnsi"/>
          <w:lang w:eastAsia="es-ES"/>
        </w:rPr>
      </w:pPr>
      <w:r w:rsidRPr="005C3E1F">
        <w:rPr>
          <w:rFonts w:eastAsia="Times New Roman" w:cstheme="minorHAnsi"/>
          <w:b/>
          <w:bCs/>
          <w:lang w:eastAsia="es-ES"/>
        </w:rPr>
        <w:t>2. Transferencia tecnológica e industrial</w:t>
      </w:r>
      <w:r w:rsidRPr="005C3E1F">
        <w:rPr>
          <w:rFonts w:eastAsia="Times New Roman" w:cstheme="minorHAnsi"/>
          <w:lang w:eastAsia="es-ES"/>
        </w:rPr>
        <w:br/>
        <w:t xml:space="preserve">2.1. </w:t>
      </w:r>
      <w:proofErr w:type="spellStart"/>
      <w:r w:rsidRPr="005C3E1F">
        <w:rPr>
          <w:rFonts w:eastAsia="Times New Roman" w:cstheme="minorHAnsi"/>
          <w:lang w:eastAsia="es-ES"/>
        </w:rPr>
        <w:t>ApTOLL</w:t>
      </w:r>
      <w:proofErr w:type="spellEnd"/>
      <w:r w:rsidRPr="005C3E1F">
        <w:rPr>
          <w:rFonts w:eastAsia="Times New Roman" w:cstheme="minorHAnsi"/>
          <w:lang w:eastAsia="es-ES"/>
        </w:rPr>
        <w:t>: de la investigación académica al desarrollo empresarial</w:t>
      </w:r>
      <w:r w:rsidRPr="005C3E1F">
        <w:rPr>
          <w:rFonts w:eastAsia="Times New Roman" w:cstheme="minorHAnsi"/>
          <w:lang w:eastAsia="es-ES"/>
        </w:rPr>
        <w:br/>
        <w:t xml:space="preserve">2.2. </w:t>
      </w:r>
      <w:proofErr w:type="spellStart"/>
      <w:r w:rsidRPr="005C3E1F">
        <w:rPr>
          <w:rFonts w:eastAsia="Times New Roman" w:cstheme="minorHAnsi"/>
          <w:lang w:eastAsia="es-ES"/>
        </w:rPr>
        <w:t>rGOT</w:t>
      </w:r>
      <w:proofErr w:type="spellEnd"/>
      <w:r w:rsidRPr="005C3E1F">
        <w:rPr>
          <w:rFonts w:eastAsia="Times New Roman" w:cstheme="minorHAnsi"/>
          <w:lang w:eastAsia="es-ES"/>
        </w:rPr>
        <w:t xml:space="preserve">: propiedad industrial, validación </w:t>
      </w:r>
      <w:proofErr w:type="spellStart"/>
      <w:r w:rsidRPr="005C3E1F">
        <w:rPr>
          <w:rFonts w:eastAsia="Times New Roman" w:cstheme="minorHAnsi"/>
          <w:lang w:eastAsia="es-ES"/>
        </w:rPr>
        <w:t>multicéntrica</w:t>
      </w:r>
      <w:proofErr w:type="spellEnd"/>
      <w:r w:rsidRPr="005C3E1F">
        <w:rPr>
          <w:rFonts w:eastAsia="Times New Roman" w:cstheme="minorHAnsi"/>
          <w:lang w:eastAsia="es-ES"/>
        </w:rPr>
        <w:t xml:space="preserve"> y negociación con industria</w:t>
      </w:r>
      <w:r w:rsidRPr="005C3E1F">
        <w:rPr>
          <w:rFonts w:eastAsia="Times New Roman" w:cstheme="minorHAnsi"/>
          <w:lang w:eastAsia="es-ES"/>
        </w:rPr>
        <w:br/>
        <w:t xml:space="preserve">2.3. </w:t>
      </w:r>
      <w:proofErr w:type="spellStart"/>
      <w:r w:rsidRPr="005C3E1F">
        <w:rPr>
          <w:rFonts w:eastAsia="Times New Roman" w:cstheme="minorHAnsi"/>
          <w:lang w:eastAsia="es-ES"/>
        </w:rPr>
        <w:t>Apotransferrina</w:t>
      </w:r>
      <w:proofErr w:type="spellEnd"/>
      <w:r w:rsidRPr="005C3E1F">
        <w:rPr>
          <w:rFonts w:eastAsia="Times New Roman" w:cstheme="minorHAnsi"/>
          <w:lang w:eastAsia="es-ES"/>
        </w:rPr>
        <w:t xml:space="preserve">: codesarrollo con empresa y diagnóstico </w:t>
      </w:r>
      <w:proofErr w:type="spellStart"/>
      <w:r w:rsidRPr="005C3E1F">
        <w:rPr>
          <w:rFonts w:eastAsia="Times New Roman" w:cstheme="minorHAnsi"/>
          <w:lang w:eastAsia="es-ES"/>
        </w:rPr>
        <w:t>point</w:t>
      </w:r>
      <w:proofErr w:type="spellEnd"/>
      <w:r w:rsidRPr="005C3E1F">
        <w:rPr>
          <w:rFonts w:eastAsia="Times New Roman" w:cstheme="minorHAnsi"/>
          <w:lang w:eastAsia="es-ES"/>
        </w:rPr>
        <w:t>-of-</w:t>
      </w:r>
      <w:proofErr w:type="spellStart"/>
      <w:r w:rsidRPr="005C3E1F">
        <w:rPr>
          <w:rFonts w:eastAsia="Times New Roman" w:cstheme="minorHAnsi"/>
          <w:lang w:eastAsia="es-ES"/>
        </w:rPr>
        <w:t>care</w:t>
      </w:r>
      <w:proofErr w:type="spellEnd"/>
      <w:r w:rsidRPr="005C3E1F">
        <w:rPr>
          <w:rFonts w:eastAsia="Times New Roman" w:cstheme="minorHAnsi"/>
          <w:lang w:eastAsia="es-ES"/>
        </w:rPr>
        <w:br/>
        <w:t>2.4. RACE-PLUS y RUSH-</w:t>
      </w:r>
      <w:proofErr w:type="spellStart"/>
      <w:r w:rsidRPr="005C3E1F">
        <w:rPr>
          <w:rFonts w:eastAsia="Times New Roman" w:cstheme="minorHAnsi"/>
          <w:lang w:eastAsia="es-ES"/>
        </w:rPr>
        <w:t>PoC</w:t>
      </w:r>
      <w:proofErr w:type="spellEnd"/>
      <w:r w:rsidRPr="005C3E1F">
        <w:rPr>
          <w:rFonts w:eastAsia="Times New Roman" w:cstheme="minorHAnsi"/>
          <w:lang w:eastAsia="es-ES"/>
        </w:rPr>
        <w:t xml:space="preserve">: herramientas </w:t>
      </w:r>
      <w:proofErr w:type="spellStart"/>
      <w:r w:rsidRPr="005C3E1F">
        <w:rPr>
          <w:rFonts w:eastAsia="Times New Roman" w:cstheme="minorHAnsi"/>
          <w:lang w:eastAsia="es-ES"/>
        </w:rPr>
        <w:t>prehospitalarias</w:t>
      </w:r>
      <w:proofErr w:type="spellEnd"/>
      <w:r w:rsidRPr="005C3E1F">
        <w:rPr>
          <w:rFonts w:eastAsia="Times New Roman" w:cstheme="minorHAnsi"/>
          <w:lang w:eastAsia="es-ES"/>
        </w:rPr>
        <w:t xml:space="preserve"> en camino regulatorio</w:t>
      </w:r>
      <w:r w:rsidRPr="005C3E1F">
        <w:rPr>
          <w:rFonts w:eastAsia="Times New Roman" w:cstheme="minorHAnsi"/>
          <w:lang w:eastAsia="es-ES"/>
        </w:rPr>
        <w:br/>
        <w:t xml:space="preserve">2.5. </w:t>
      </w:r>
      <w:proofErr w:type="spellStart"/>
      <w:r w:rsidRPr="005C3E1F">
        <w:rPr>
          <w:rFonts w:eastAsia="Times New Roman" w:cstheme="minorHAnsi"/>
          <w:lang w:eastAsia="es-ES"/>
        </w:rPr>
        <w:t>Biomarcadores</w:t>
      </w:r>
      <w:proofErr w:type="spellEnd"/>
      <w:r w:rsidRPr="005C3E1F">
        <w:rPr>
          <w:rFonts w:eastAsia="Times New Roman" w:cstheme="minorHAnsi"/>
          <w:lang w:eastAsia="es-ES"/>
        </w:rPr>
        <w:t xml:space="preserve"> de estenosis </w:t>
      </w:r>
      <w:proofErr w:type="spellStart"/>
      <w:r w:rsidRPr="005C3E1F">
        <w:rPr>
          <w:rFonts w:eastAsia="Times New Roman" w:cstheme="minorHAnsi"/>
          <w:lang w:eastAsia="es-ES"/>
        </w:rPr>
        <w:t>carotídea</w:t>
      </w:r>
      <w:proofErr w:type="spellEnd"/>
      <w:r w:rsidRPr="005C3E1F">
        <w:rPr>
          <w:rFonts w:eastAsia="Times New Roman" w:cstheme="minorHAnsi"/>
          <w:lang w:eastAsia="es-ES"/>
        </w:rPr>
        <w:t>: valorización, regulación y mercado</w:t>
      </w:r>
      <w:r w:rsidRPr="005C3E1F">
        <w:rPr>
          <w:rFonts w:eastAsia="Times New Roman" w:cstheme="minorHAnsi"/>
          <w:lang w:eastAsia="es-ES"/>
        </w:rPr>
        <w:br/>
        <w:t>2.6. Patentes, licencias y software protegido</w:t>
      </w:r>
    </w:p>
    <w:p w14:paraId="7D4A5CFC" w14:textId="77777777" w:rsidR="005C3E1F" w:rsidRPr="005C3E1F" w:rsidRDefault="005C3E1F" w:rsidP="005C3E1F">
      <w:pPr>
        <w:spacing w:after="0" w:line="240" w:lineRule="auto"/>
        <w:rPr>
          <w:rFonts w:eastAsia="Times New Roman" w:cstheme="minorHAnsi"/>
          <w:lang w:eastAsia="es-ES"/>
        </w:rPr>
      </w:pPr>
      <w:r w:rsidRPr="005C3E1F">
        <w:rPr>
          <w:rFonts w:eastAsia="Times New Roman" w:cstheme="minorHAnsi"/>
          <w:b/>
          <w:bCs/>
          <w:lang w:eastAsia="es-ES"/>
        </w:rPr>
        <w:t>3. Transferencia de conocimiento a profesionales y pacientes</w:t>
      </w:r>
      <w:r w:rsidRPr="005C3E1F">
        <w:rPr>
          <w:rFonts w:eastAsia="Times New Roman" w:cstheme="minorHAnsi"/>
          <w:lang w:eastAsia="es-ES"/>
        </w:rPr>
        <w:br/>
        <w:t>3.1. Formación que modifica la práctica profesional</w:t>
      </w:r>
      <w:r w:rsidRPr="005C3E1F">
        <w:rPr>
          <w:rFonts w:eastAsia="Times New Roman" w:cstheme="minorHAnsi"/>
          <w:lang w:eastAsia="es-ES"/>
        </w:rPr>
        <w:br/>
        <w:t>3.2. Guías y documentos de consenso</w:t>
      </w:r>
      <w:r w:rsidRPr="005C3E1F">
        <w:rPr>
          <w:rFonts w:eastAsia="Times New Roman" w:cstheme="minorHAnsi"/>
          <w:lang w:eastAsia="es-ES"/>
        </w:rPr>
        <w:br/>
        <w:t>3.3. Pacientes, autocuidado y continuidad</w:t>
      </w:r>
    </w:p>
    <w:p w14:paraId="28DE3034" w14:textId="77777777" w:rsidR="005C3E1F" w:rsidRPr="005C3E1F" w:rsidRDefault="005C3E1F" w:rsidP="005C3E1F">
      <w:pPr>
        <w:spacing w:after="0" w:line="240" w:lineRule="auto"/>
        <w:rPr>
          <w:rFonts w:eastAsia="Times New Roman" w:cstheme="minorHAnsi"/>
          <w:lang w:eastAsia="es-ES"/>
        </w:rPr>
      </w:pPr>
      <w:r w:rsidRPr="005C3E1F">
        <w:rPr>
          <w:rFonts w:eastAsia="Times New Roman" w:cstheme="minorHAnsi"/>
          <w:b/>
          <w:bCs/>
          <w:lang w:eastAsia="es-ES"/>
        </w:rPr>
        <w:t>4. Recursos transferidos y compartidos para acelerar nueva investigación</w:t>
      </w:r>
    </w:p>
    <w:p w14:paraId="6EEBF542" w14:textId="471744FA" w:rsidR="005C3E1F" w:rsidRPr="007A4F57" w:rsidRDefault="005C3E1F" w:rsidP="005C3E1F">
      <w:pPr>
        <w:spacing w:after="0" w:line="240" w:lineRule="auto"/>
        <w:rPr>
          <w:rFonts w:eastAsia="Times New Roman" w:cstheme="minorHAnsi"/>
          <w:b/>
          <w:bCs/>
          <w:lang w:eastAsia="es-ES"/>
        </w:rPr>
      </w:pPr>
      <w:r w:rsidRPr="005C3E1F">
        <w:rPr>
          <w:rFonts w:eastAsia="Times New Roman" w:cstheme="minorHAnsi"/>
          <w:b/>
          <w:bCs/>
          <w:lang w:eastAsia="es-ES"/>
        </w:rPr>
        <w:t>5. Una cartera de transferencia con recorrido</w:t>
      </w:r>
    </w:p>
    <w:p w14:paraId="62BE07BB" w14:textId="77777777" w:rsidR="005C3E1F" w:rsidRPr="005C3E1F" w:rsidRDefault="005C3E1F" w:rsidP="005C3E1F">
      <w:pPr>
        <w:spacing w:after="0" w:line="240" w:lineRule="auto"/>
        <w:rPr>
          <w:rFonts w:eastAsia="Times New Roman" w:cstheme="minorHAnsi"/>
          <w:sz w:val="24"/>
          <w:szCs w:val="24"/>
          <w:lang w:eastAsia="es-ES"/>
        </w:rPr>
      </w:pPr>
    </w:p>
    <w:p w14:paraId="1F1D4AD1" w14:textId="77777777" w:rsidR="005C3E1F" w:rsidRDefault="005C3E1F" w:rsidP="005C3E1F">
      <w:pPr>
        <w:spacing w:after="0" w:line="240" w:lineRule="auto"/>
        <w:jc w:val="both"/>
        <w:rPr>
          <w:rFonts w:hint="eastAsia"/>
        </w:rPr>
      </w:pPr>
      <w:r>
        <w:t>La RICORS-ICTUS nació con una orientación explícita a resultados en salud. Su valor no se limita a generar conocimiento: consiste en conseguir que ese conocimiento atraviese la frontera entre investigación y uso real. En la Red, la transferencia adopta varias formas: cambios en la organización del Código Ictus, registros integrados en sistemas sanitarios, nuevas rutas asistenciales, herramientas para profesionales y pacientes, propiedad industrial, acuerdos con empresas, software protegido, tecnologías en validación como dispositivo médico y programas de educación y continuidad asistencial.</w:t>
      </w:r>
    </w:p>
    <w:p w14:paraId="41CBEB86" w14:textId="40001DB2" w:rsidR="005C3E1F" w:rsidRDefault="005C3E1F" w:rsidP="005C3E1F">
      <w:pPr>
        <w:spacing w:after="0" w:line="240" w:lineRule="auto"/>
        <w:jc w:val="both"/>
      </w:pPr>
      <w:r w:rsidRPr="005C3E1F">
        <w:rPr>
          <w:b/>
        </w:rPr>
        <w:lastRenderedPageBreak/>
        <w:t>Cuando la transferencia se produce de forma cooperativa, su alcance aumenta</w:t>
      </w:r>
      <w:r>
        <w:t>. Algunos de los ejemplos más sólidos de RICORS-ICTUS reúnen hospitales, servicios de emergencias, administraciones sanitarias, universidades y empresas, permitiendo que una solución no quede restringida al centro donde nació y pueda validarse, implantarse o escalarse.</w:t>
      </w:r>
    </w:p>
    <w:p w14:paraId="5F7FFE58" w14:textId="77777777" w:rsidR="007A4F57" w:rsidRDefault="007A4F57" w:rsidP="005C3E1F">
      <w:pPr>
        <w:spacing w:after="0" w:line="240" w:lineRule="auto"/>
        <w:jc w:val="both"/>
        <w:rPr>
          <w:rFonts w:hint="eastAsia"/>
        </w:rPr>
      </w:pPr>
    </w:p>
    <w:p w14:paraId="2161C5E7" w14:textId="77777777" w:rsidR="007A4F57" w:rsidRPr="007A4F57" w:rsidRDefault="007A4F57" w:rsidP="007A4F57">
      <w:pPr>
        <w:pStyle w:val="Ttulo1"/>
        <w:spacing w:before="0" w:line="240" w:lineRule="auto"/>
        <w:jc w:val="both"/>
        <w:rPr>
          <w:rFonts w:asciiTheme="minorHAnsi" w:hAnsiTheme="minorHAnsi" w:cstheme="minorHAnsi"/>
          <w:b/>
          <w:color w:val="auto"/>
          <w:sz w:val="28"/>
          <w:szCs w:val="28"/>
        </w:rPr>
      </w:pPr>
      <w:r w:rsidRPr="007A4F57">
        <w:rPr>
          <w:rFonts w:asciiTheme="minorHAnsi" w:hAnsiTheme="minorHAnsi" w:cstheme="minorHAnsi"/>
          <w:b/>
          <w:color w:val="auto"/>
          <w:sz w:val="28"/>
          <w:szCs w:val="28"/>
        </w:rPr>
        <w:t>1. Transferencia al Sistema Nacional de Salud</w:t>
      </w:r>
    </w:p>
    <w:p w14:paraId="3EF1E325" w14:textId="77777777" w:rsidR="007A4F57" w:rsidRPr="007A4F57" w:rsidRDefault="007A4F57" w:rsidP="007A4F57">
      <w:pPr>
        <w:spacing w:after="0" w:line="240" w:lineRule="auto"/>
        <w:jc w:val="both"/>
        <w:rPr>
          <w:rFonts w:cstheme="minorHAnsi"/>
        </w:rPr>
      </w:pPr>
      <w:r w:rsidRPr="007A4F57">
        <w:rPr>
          <w:rFonts w:cstheme="minorHAnsi"/>
        </w:rPr>
        <w:t>La transferencia más directa es la que modifica cómo se atiende a las personas con ictus. RICORS-ICTUS ha contribuido a estrategias regionales y nacionales, registros asistenciales, protocolos de atención, circuitos de derivación, continuidad tras el alta y formación de profesionales que ya se utiliza en la práctica diaria.</w:t>
      </w:r>
    </w:p>
    <w:p w14:paraId="60A3CD11" w14:textId="77777777" w:rsidR="007A4F57" w:rsidRPr="007A4F57" w:rsidRDefault="007A4F57" w:rsidP="007A4F57">
      <w:pPr>
        <w:pStyle w:val="Ttulo2"/>
        <w:spacing w:before="0" w:line="240" w:lineRule="auto"/>
        <w:jc w:val="both"/>
        <w:rPr>
          <w:rFonts w:asciiTheme="minorHAnsi" w:hAnsiTheme="minorHAnsi" w:cstheme="minorHAnsi"/>
          <w:b/>
          <w:color w:val="2F5496" w:themeColor="accent5" w:themeShade="BF"/>
          <w:sz w:val="24"/>
          <w:szCs w:val="24"/>
          <w:u w:val="single"/>
        </w:rPr>
      </w:pPr>
      <w:r w:rsidRPr="007A4F57">
        <w:rPr>
          <w:rFonts w:asciiTheme="minorHAnsi" w:hAnsiTheme="minorHAnsi" w:cstheme="minorHAnsi"/>
          <w:b/>
          <w:color w:val="2F5496" w:themeColor="accent5" w:themeShade="BF"/>
          <w:sz w:val="24"/>
          <w:szCs w:val="24"/>
          <w:u w:val="single"/>
        </w:rPr>
        <w:t>1.1. Estrategias, planes y registros que ordenan la atención</w:t>
      </w:r>
    </w:p>
    <w:p w14:paraId="06FF0216" w14:textId="77777777" w:rsidR="007A4F57" w:rsidRPr="007A4F57" w:rsidRDefault="007A4F57" w:rsidP="007A4F57">
      <w:pPr>
        <w:spacing w:after="0" w:line="240" w:lineRule="auto"/>
        <w:jc w:val="both"/>
        <w:rPr>
          <w:rFonts w:cstheme="minorHAnsi"/>
        </w:rPr>
      </w:pPr>
      <w:r w:rsidRPr="007A4F57">
        <w:rPr>
          <w:rFonts w:cstheme="minorHAnsi"/>
        </w:rPr>
        <w:t xml:space="preserve">En Castilla y León, el Hospital Clínico Universitario de Valladolid ha desempeñado un papel central en la organización regional del ictus. La transferencia incluye la coordinación científica del Código Ictus de Castilla y León y del Plan de Atención al Ictus, la participación en la actualización de 2023 de la Estrategia de Ictus del Sistema Nacional de Salud y, especialmente, la puesta en marcha en el primer trimestre de 2024 del Registro de Código Ictus y del Registro de </w:t>
      </w:r>
      <w:proofErr w:type="spellStart"/>
      <w:r w:rsidRPr="007A4F57">
        <w:rPr>
          <w:rFonts w:cstheme="minorHAnsi"/>
        </w:rPr>
        <w:t>Reperfusión</w:t>
      </w:r>
      <w:proofErr w:type="spellEnd"/>
      <w:r w:rsidRPr="007A4F57">
        <w:rPr>
          <w:rFonts w:cstheme="minorHAnsi"/>
        </w:rPr>
        <w:t xml:space="preserve"> de Castilla y León. El Registro de Código Ictus quedó incorporado a la historia clínica electrónica regional, convirtiendo la información asistencial en una herramienta estable para seguimiento y evaluación del sistema.</w:t>
      </w:r>
    </w:p>
    <w:p w14:paraId="7FFFB199" w14:textId="77777777" w:rsidR="007A4F57" w:rsidRPr="007A4F57" w:rsidRDefault="007A4F57" w:rsidP="007A4F57">
      <w:pPr>
        <w:spacing w:after="0" w:line="240" w:lineRule="auto"/>
        <w:jc w:val="both"/>
        <w:rPr>
          <w:rFonts w:cstheme="minorHAnsi"/>
        </w:rPr>
      </w:pPr>
      <w:r w:rsidRPr="007A4F57">
        <w:rPr>
          <w:rFonts w:cstheme="minorHAnsi"/>
        </w:rPr>
        <w:t xml:space="preserve">En la Comunidad de Madrid, distintos investigadores de la Red han participado en el Plan de Atención a los pacientes con ictus, en la actualización de la Estrategia de Ictus del Sistema Nacional de Salud, en la Guía de Práctica Clínica sobre el Manejo del Ictus en Atención Primaria y en documentos de consenso para la realización de tomografía computarizada en el Código Ictus. La RED ICTUS MADRID actualizó en 2024 los nodos organizativos de guardia de </w:t>
      </w:r>
      <w:proofErr w:type="spellStart"/>
      <w:r w:rsidRPr="007A4F57">
        <w:rPr>
          <w:rFonts w:cstheme="minorHAnsi"/>
        </w:rPr>
        <w:t>Neurointervencionismo</w:t>
      </w:r>
      <w:proofErr w:type="spellEnd"/>
      <w:r w:rsidRPr="007A4F57">
        <w:rPr>
          <w:rFonts w:cstheme="minorHAnsi"/>
        </w:rPr>
        <w:t xml:space="preserve"> y se puso en marcha el Registro de Ictus de la Comunidad de Madrid, también integrado en la historia clínica electrónica regional.</w:t>
      </w:r>
    </w:p>
    <w:p w14:paraId="0F4D2FD9" w14:textId="77777777" w:rsidR="007A4F57" w:rsidRPr="007A4F57" w:rsidRDefault="007A4F57" w:rsidP="007A4F57">
      <w:pPr>
        <w:spacing w:after="0" w:line="240" w:lineRule="auto"/>
        <w:jc w:val="both"/>
        <w:rPr>
          <w:rFonts w:cstheme="minorHAnsi"/>
        </w:rPr>
      </w:pPr>
      <w:r w:rsidRPr="007A4F57">
        <w:rPr>
          <w:rFonts w:cstheme="minorHAnsi"/>
        </w:rPr>
        <w:t xml:space="preserve">La transferencia regional se extiende a otros territorios. En Castilla-La Mancha se mantiene el Código Ictus autonómico, coordinado por la Consejería de Sanidad con expertos de los hospitales de la región, junto con el registro regional de pacientes atendidos dentro de este protocolo. En la Comunidad Valenciana, el Hospital </w:t>
      </w:r>
      <w:proofErr w:type="spellStart"/>
      <w:r w:rsidRPr="007A4F57">
        <w:rPr>
          <w:rFonts w:cstheme="minorHAnsi"/>
        </w:rPr>
        <w:t>Universitari</w:t>
      </w:r>
      <w:proofErr w:type="spellEnd"/>
      <w:r w:rsidRPr="007A4F57">
        <w:rPr>
          <w:rFonts w:cstheme="minorHAnsi"/>
        </w:rPr>
        <w:t xml:space="preserve"> i </w:t>
      </w:r>
      <w:proofErr w:type="spellStart"/>
      <w:r w:rsidRPr="007A4F57">
        <w:rPr>
          <w:rFonts w:cstheme="minorHAnsi"/>
        </w:rPr>
        <w:t>Politècnic</w:t>
      </w:r>
      <w:proofErr w:type="spellEnd"/>
      <w:r w:rsidRPr="007A4F57">
        <w:rPr>
          <w:rFonts w:cstheme="minorHAnsi"/>
        </w:rPr>
        <w:t xml:space="preserve"> La Fe ha contribuido al Plan de Atención al Ictus de la Comunidad Valenciana, a su guía clínica y al protocolo de atención de su red asistencial. En Asturias, el Hospital Universitario Central de Asturias participa en la actualización de los protocolos del Programa Clave de Atención Interdisciplinar y en estrategias nacionales y europeas de ictus.</w:t>
      </w:r>
    </w:p>
    <w:p w14:paraId="59017264" w14:textId="11E23F15" w:rsidR="007A4F57" w:rsidRDefault="007A4F57" w:rsidP="007A4F57">
      <w:pPr>
        <w:spacing w:after="0" w:line="240" w:lineRule="auto"/>
        <w:jc w:val="both"/>
        <w:rPr>
          <w:rFonts w:cstheme="minorHAnsi"/>
        </w:rPr>
      </w:pPr>
      <w:r w:rsidRPr="007A4F57">
        <w:rPr>
          <w:rFonts w:cstheme="minorHAnsi"/>
        </w:rPr>
        <w:t xml:space="preserve">En Aragón, el Hospital Universitario Miguel Servet ha redactado para los nueve hospitales públicos de la comunidad un protocolo clínico para optimizar la búsqueda de fibrilación auricular oculta tras ictus isquémico </w:t>
      </w:r>
      <w:proofErr w:type="spellStart"/>
      <w:r w:rsidRPr="007A4F57">
        <w:rPr>
          <w:rFonts w:cstheme="minorHAnsi"/>
        </w:rPr>
        <w:t>criptogénico</w:t>
      </w:r>
      <w:proofErr w:type="spellEnd"/>
      <w:r w:rsidRPr="007A4F57">
        <w:rPr>
          <w:rFonts w:cstheme="minorHAnsi"/>
        </w:rPr>
        <w:t xml:space="preserve">, integrando criterios clínicos, ecográficos, electrocardiográficos y </w:t>
      </w:r>
      <w:proofErr w:type="spellStart"/>
      <w:r w:rsidRPr="007A4F57">
        <w:rPr>
          <w:rFonts w:cstheme="minorHAnsi"/>
        </w:rPr>
        <w:t>biomarcadores</w:t>
      </w:r>
      <w:proofErr w:type="spellEnd"/>
      <w:r w:rsidRPr="007A4F57">
        <w:rPr>
          <w:rFonts w:cstheme="minorHAnsi"/>
        </w:rPr>
        <w:t>. Esta actuación amplía el alcance de la transferencia desde un único centro a toda la red hospitalaria pública aragonesa.</w:t>
      </w:r>
    </w:p>
    <w:p w14:paraId="78F3AC1D" w14:textId="13791073" w:rsidR="007A4F57" w:rsidRPr="007A4F57" w:rsidRDefault="007A4F57" w:rsidP="007A4F57">
      <w:pPr>
        <w:spacing w:after="0" w:line="240" w:lineRule="auto"/>
        <w:jc w:val="both"/>
        <w:rPr>
          <w:rFonts w:cstheme="minorHAnsi"/>
          <w:b/>
        </w:rPr>
      </w:pPr>
      <w:r w:rsidRPr="007A4F57">
        <w:rPr>
          <w:rFonts w:cstheme="minorHAnsi"/>
          <w:b/>
        </w:rPr>
        <w:t>Los registros, códigos de ictus autonómicos y los planes regionales son ejemplos de transferencia que supera el hospital individual: el conocimiento generado por los grupos se incorpora a estructuras del propio sistema sanitario.</w:t>
      </w:r>
    </w:p>
    <w:p w14:paraId="371EC23C" w14:textId="77777777" w:rsidR="007A4F57" w:rsidRPr="007A4F57" w:rsidRDefault="007A4F57" w:rsidP="007A4F57">
      <w:pPr>
        <w:pStyle w:val="Ttulo2"/>
        <w:spacing w:before="0" w:line="240" w:lineRule="auto"/>
        <w:jc w:val="both"/>
        <w:rPr>
          <w:rFonts w:asciiTheme="minorHAnsi" w:hAnsiTheme="minorHAnsi" w:cstheme="minorHAnsi"/>
          <w:b/>
          <w:color w:val="2F5496" w:themeColor="accent5" w:themeShade="BF"/>
          <w:sz w:val="24"/>
          <w:szCs w:val="24"/>
          <w:u w:val="single"/>
        </w:rPr>
      </w:pPr>
      <w:r w:rsidRPr="007A4F57">
        <w:rPr>
          <w:rFonts w:asciiTheme="minorHAnsi" w:hAnsiTheme="minorHAnsi" w:cstheme="minorHAnsi"/>
          <w:b/>
          <w:color w:val="2F5496" w:themeColor="accent5" w:themeShade="BF"/>
          <w:sz w:val="24"/>
          <w:szCs w:val="24"/>
          <w:u w:val="single"/>
        </w:rPr>
        <w:t xml:space="preserve">1.2. Atención </w:t>
      </w:r>
      <w:proofErr w:type="spellStart"/>
      <w:r w:rsidRPr="007A4F57">
        <w:rPr>
          <w:rFonts w:asciiTheme="minorHAnsi" w:hAnsiTheme="minorHAnsi" w:cstheme="minorHAnsi"/>
          <w:b/>
          <w:color w:val="2F5496" w:themeColor="accent5" w:themeShade="BF"/>
          <w:sz w:val="24"/>
          <w:szCs w:val="24"/>
          <w:u w:val="single"/>
        </w:rPr>
        <w:t>prehospitalaria</w:t>
      </w:r>
      <w:proofErr w:type="spellEnd"/>
      <w:r w:rsidRPr="007A4F57">
        <w:rPr>
          <w:rFonts w:asciiTheme="minorHAnsi" w:hAnsiTheme="minorHAnsi" w:cstheme="minorHAnsi"/>
          <w:b/>
          <w:color w:val="2F5496" w:themeColor="accent5" w:themeShade="BF"/>
          <w:sz w:val="24"/>
          <w:szCs w:val="24"/>
          <w:u w:val="single"/>
        </w:rPr>
        <w:t>: cambiar lo que ocurre antes de llegar al hospital</w:t>
      </w:r>
    </w:p>
    <w:p w14:paraId="320E3F5B" w14:textId="77777777" w:rsidR="007A4F57" w:rsidRPr="007A4F57" w:rsidRDefault="007A4F57" w:rsidP="007A4F57">
      <w:pPr>
        <w:spacing w:after="0" w:line="240" w:lineRule="auto"/>
        <w:jc w:val="both"/>
        <w:rPr>
          <w:rFonts w:cstheme="minorHAnsi"/>
        </w:rPr>
      </w:pPr>
      <w:r w:rsidRPr="0008422F">
        <w:rPr>
          <w:rFonts w:cstheme="minorHAnsi"/>
          <w:b/>
        </w:rPr>
        <w:t>BIOSHIP-training</w:t>
      </w:r>
      <w:r w:rsidRPr="007A4F57">
        <w:rPr>
          <w:rFonts w:cstheme="minorHAnsi"/>
        </w:rPr>
        <w:t xml:space="preserve"> es uno de los ejemplos más claros de </w:t>
      </w:r>
      <w:r w:rsidRPr="0008422F">
        <w:rPr>
          <w:rFonts w:cstheme="minorHAnsi"/>
          <w:b/>
        </w:rPr>
        <w:t>transferencia cooperativa a gran escala</w:t>
      </w:r>
      <w:r w:rsidRPr="007A4F57">
        <w:rPr>
          <w:rFonts w:cstheme="minorHAnsi"/>
        </w:rPr>
        <w:t xml:space="preserve">. Durante nueve meses participaron 6 comunidades autónomas, 16 hospitales y 34 unidades de emergencias sanitarias para evaluar una herramienta </w:t>
      </w:r>
      <w:proofErr w:type="spellStart"/>
      <w:r w:rsidRPr="007A4F57">
        <w:rPr>
          <w:rFonts w:cstheme="minorHAnsi"/>
        </w:rPr>
        <w:t>point</w:t>
      </w:r>
      <w:proofErr w:type="spellEnd"/>
      <w:r w:rsidRPr="007A4F57">
        <w:rPr>
          <w:rFonts w:cstheme="minorHAnsi"/>
        </w:rPr>
        <w:t>-of-</w:t>
      </w:r>
      <w:proofErr w:type="spellStart"/>
      <w:r w:rsidRPr="007A4F57">
        <w:rPr>
          <w:rFonts w:cstheme="minorHAnsi"/>
        </w:rPr>
        <w:t>care</w:t>
      </w:r>
      <w:proofErr w:type="spellEnd"/>
      <w:r w:rsidRPr="007A4F57">
        <w:rPr>
          <w:rFonts w:cstheme="minorHAnsi"/>
        </w:rPr>
        <w:t xml:space="preserve"> destinada a mejorar la detección </w:t>
      </w:r>
      <w:proofErr w:type="spellStart"/>
      <w:r w:rsidRPr="007A4F57">
        <w:rPr>
          <w:rFonts w:cstheme="minorHAnsi"/>
        </w:rPr>
        <w:t>prehospitalaria</w:t>
      </w:r>
      <w:proofErr w:type="spellEnd"/>
      <w:r w:rsidRPr="007A4F57">
        <w:rPr>
          <w:rFonts w:cstheme="minorHAnsi"/>
        </w:rPr>
        <w:t xml:space="preserve"> de oclusión de gran vaso. La puesta en marcha del estudio exigió homogeneizar procedimientos y formar a los equipos de emergencias. Se formaron 454 profesionales en la escala NIHSS y Buenas Prácticas Clínicas y 354 profesionales específicamente en BIOSHIP-training. Más allá del propio estudio, la utilización de NIHSS pasó a incorporarse como protocolo habitual en la atención </w:t>
      </w:r>
      <w:proofErr w:type="spellStart"/>
      <w:r w:rsidRPr="007A4F57">
        <w:rPr>
          <w:rFonts w:cstheme="minorHAnsi"/>
        </w:rPr>
        <w:t>extrahospitalaria</w:t>
      </w:r>
      <w:proofErr w:type="spellEnd"/>
      <w:r w:rsidRPr="007A4F57">
        <w:rPr>
          <w:rFonts w:cstheme="minorHAnsi"/>
        </w:rPr>
        <w:t xml:space="preserve"> de los códigos ictus participantes.</w:t>
      </w:r>
    </w:p>
    <w:p w14:paraId="67A14B71" w14:textId="77777777" w:rsidR="007A4F57" w:rsidRPr="007A4F57" w:rsidRDefault="007A4F57" w:rsidP="007A4F57">
      <w:pPr>
        <w:spacing w:after="0" w:line="240" w:lineRule="auto"/>
        <w:jc w:val="both"/>
        <w:rPr>
          <w:rFonts w:cstheme="minorHAnsi"/>
        </w:rPr>
      </w:pPr>
      <w:r w:rsidRPr="007A4F57">
        <w:rPr>
          <w:rFonts w:cstheme="minorHAnsi"/>
        </w:rPr>
        <w:t xml:space="preserve">La escala RACE constituye otra trayectoria de transferencia consolidada. Desarrollada en el entorno del </w:t>
      </w:r>
      <w:proofErr w:type="spellStart"/>
      <w:r w:rsidRPr="007A4F57">
        <w:rPr>
          <w:rFonts w:cstheme="minorHAnsi"/>
        </w:rPr>
        <w:t>Institut</w:t>
      </w:r>
      <w:proofErr w:type="spellEnd"/>
      <w:r w:rsidRPr="007A4F57">
        <w:rPr>
          <w:rFonts w:cstheme="minorHAnsi"/>
        </w:rPr>
        <w:t xml:space="preserve"> de Recerca en </w:t>
      </w:r>
      <w:proofErr w:type="spellStart"/>
      <w:r w:rsidRPr="007A4F57">
        <w:rPr>
          <w:rFonts w:cstheme="minorHAnsi"/>
        </w:rPr>
        <w:t>Ciències</w:t>
      </w:r>
      <w:proofErr w:type="spellEnd"/>
      <w:r w:rsidRPr="007A4F57">
        <w:rPr>
          <w:rFonts w:cstheme="minorHAnsi"/>
        </w:rPr>
        <w:t xml:space="preserve"> de la </w:t>
      </w:r>
      <w:proofErr w:type="spellStart"/>
      <w:r w:rsidRPr="007A4F57">
        <w:rPr>
          <w:rFonts w:cstheme="minorHAnsi"/>
        </w:rPr>
        <w:t>Salut</w:t>
      </w:r>
      <w:proofErr w:type="spellEnd"/>
      <w:r w:rsidRPr="007A4F57">
        <w:rPr>
          <w:rFonts w:cstheme="minorHAnsi"/>
        </w:rPr>
        <w:t xml:space="preserve"> </w:t>
      </w:r>
      <w:proofErr w:type="spellStart"/>
      <w:r w:rsidRPr="007A4F57">
        <w:rPr>
          <w:rFonts w:cstheme="minorHAnsi"/>
        </w:rPr>
        <w:t>Germans</w:t>
      </w:r>
      <w:proofErr w:type="spellEnd"/>
      <w:r w:rsidRPr="007A4F57">
        <w:rPr>
          <w:rFonts w:cstheme="minorHAnsi"/>
        </w:rPr>
        <w:t xml:space="preserve"> </w:t>
      </w:r>
      <w:proofErr w:type="spellStart"/>
      <w:r w:rsidRPr="007A4F57">
        <w:rPr>
          <w:rFonts w:cstheme="minorHAnsi"/>
        </w:rPr>
        <w:t>Trias</w:t>
      </w:r>
      <w:proofErr w:type="spellEnd"/>
      <w:r w:rsidRPr="007A4F57">
        <w:rPr>
          <w:rFonts w:cstheme="minorHAnsi"/>
        </w:rPr>
        <w:t xml:space="preserve"> i Pujol, se convirtió en una herramienta de formación para profesionales de urgencias y sistemas de emergencias mediante un curso online específico. El ensayo RACECAT aportó además evidencia que motivó cambios en los protocolos de traslado de pacientes con sospecha de ictus a centros especializados en Cataluña y la actualización de la correspondiente instrucción del </w:t>
      </w:r>
      <w:proofErr w:type="spellStart"/>
      <w:r w:rsidRPr="007A4F57">
        <w:rPr>
          <w:rFonts w:cstheme="minorHAnsi"/>
        </w:rPr>
        <w:t>CatSalut</w:t>
      </w:r>
      <w:proofErr w:type="spellEnd"/>
      <w:r w:rsidRPr="007A4F57">
        <w:rPr>
          <w:rFonts w:cstheme="minorHAnsi"/>
        </w:rPr>
        <w:t xml:space="preserve"> en 2022.</w:t>
      </w:r>
    </w:p>
    <w:p w14:paraId="31D80F89" w14:textId="77777777" w:rsidR="007A4F57" w:rsidRPr="0008422F" w:rsidRDefault="007A4F57" w:rsidP="007A4F57">
      <w:pPr>
        <w:pStyle w:val="Ttulo2"/>
        <w:spacing w:before="0" w:line="240" w:lineRule="auto"/>
        <w:jc w:val="both"/>
        <w:rPr>
          <w:rFonts w:asciiTheme="minorHAnsi" w:hAnsiTheme="minorHAnsi" w:cstheme="minorHAnsi"/>
          <w:b/>
          <w:color w:val="2F5496" w:themeColor="accent5" w:themeShade="BF"/>
          <w:sz w:val="24"/>
          <w:szCs w:val="24"/>
          <w:u w:val="single"/>
        </w:rPr>
      </w:pPr>
      <w:r w:rsidRPr="0008422F">
        <w:rPr>
          <w:rFonts w:asciiTheme="minorHAnsi" w:hAnsiTheme="minorHAnsi" w:cstheme="minorHAnsi"/>
          <w:b/>
          <w:color w:val="2F5496" w:themeColor="accent5" w:themeShade="BF"/>
          <w:sz w:val="24"/>
          <w:szCs w:val="24"/>
          <w:u w:val="single"/>
        </w:rPr>
        <w:t>1.3. Protocolos y circuitos asistenciales implantados</w:t>
      </w:r>
    </w:p>
    <w:p w14:paraId="48D8BA4F" w14:textId="77777777" w:rsidR="007A4F57" w:rsidRPr="007A4F57" w:rsidRDefault="007A4F57" w:rsidP="007A4F57">
      <w:pPr>
        <w:spacing w:after="0" w:line="240" w:lineRule="auto"/>
        <w:jc w:val="both"/>
        <w:rPr>
          <w:rFonts w:cstheme="minorHAnsi"/>
        </w:rPr>
      </w:pPr>
      <w:r w:rsidRPr="007A4F57">
        <w:rPr>
          <w:rFonts w:cstheme="minorHAnsi"/>
        </w:rPr>
        <w:t xml:space="preserve">La investigación clínica de la Red también se ha convertido en protocolos concretos. En el Hospital </w:t>
      </w:r>
      <w:proofErr w:type="spellStart"/>
      <w:r w:rsidRPr="007A4F57">
        <w:rPr>
          <w:rFonts w:cstheme="minorHAnsi"/>
        </w:rPr>
        <w:t>Universitari</w:t>
      </w:r>
      <w:proofErr w:type="spellEnd"/>
      <w:r w:rsidRPr="007A4F57">
        <w:rPr>
          <w:rFonts w:cstheme="minorHAnsi"/>
        </w:rPr>
        <w:t xml:space="preserve"> Dr. Josep </w:t>
      </w:r>
      <w:proofErr w:type="spellStart"/>
      <w:r w:rsidRPr="007A4F57">
        <w:rPr>
          <w:rFonts w:cstheme="minorHAnsi"/>
        </w:rPr>
        <w:t>Trueta</w:t>
      </w:r>
      <w:proofErr w:type="spellEnd"/>
      <w:r w:rsidRPr="007A4F57">
        <w:rPr>
          <w:rFonts w:cstheme="minorHAnsi"/>
        </w:rPr>
        <w:t xml:space="preserve"> de Girona y en la red hospitalaria del </w:t>
      </w:r>
      <w:proofErr w:type="spellStart"/>
      <w:r w:rsidRPr="007A4F57">
        <w:rPr>
          <w:rFonts w:cstheme="minorHAnsi"/>
        </w:rPr>
        <w:t>Institut</w:t>
      </w:r>
      <w:proofErr w:type="spellEnd"/>
      <w:r w:rsidRPr="007A4F57">
        <w:rPr>
          <w:rFonts w:cstheme="minorHAnsi"/>
        </w:rPr>
        <w:t xml:space="preserve"> </w:t>
      </w:r>
      <w:proofErr w:type="spellStart"/>
      <w:r w:rsidRPr="007A4F57">
        <w:rPr>
          <w:rFonts w:cstheme="minorHAnsi"/>
        </w:rPr>
        <w:t>Català</w:t>
      </w:r>
      <w:proofErr w:type="spellEnd"/>
      <w:r w:rsidRPr="007A4F57">
        <w:rPr>
          <w:rFonts w:cstheme="minorHAnsi"/>
        </w:rPr>
        <w:t xml:space="preserve"> de la </w:t>
      </w:r>
      <w:proofErr w:type="spellStart"/>
      <w:r w:rsidRPr="007A4F57">
        <w:rPr>
          <w:rFonts w:cstheme="minorHAnsi"/>
        </w:rPr>
        <w:t>Salut</w:t>
      </w:r>
      <w:proofErr w:type="spellEnd"/>
      <w:r w:rsidRPr="007A4F57">
        <w:rPr>
          <w:rFonts w:cstheme="minorHAnsi"/>
        </w:rPr>
        <w:t xml:space="preserve">, a través de PADEICS, se han elaborado e implantado protocolos para el diagnóstico y tratamiento de la trombosis venosa cerebral, el tratamiento </w:t>
      </w:r>
      <w:proofErr w:type="spellStart"/>
      <w:r w:rsidRPr="007A4F57">
        <w:rPr>
          <w:rFonts w:cstheme="minorHAnsi"/>
        </w:rPr>
        <w:t>endovascular</w:t>
      </w:r>
      <w:proofErr w:type="spellEnd"/>
      <w:r w:rsidRPr="007A4F57">
        <w:rPr>
          <w:rFonts w:cstheme="minorHAnsi"/>
        </w:rPr>
        <w:t xml:space="preserve"> de aneurismas cerebrales no rotos, la </w:t>
      </w:r>
      <w:proofErr w:type="spellStart"/>
      <w:r w:rsidRPr="007A4F57">
        <w:rPr>
          <w:rFonts w:cstheme="minorHAnsi"/>
        </w:rPr>
        <w:t>vertebroplastia</w:t>
      </w:r>
      <w:proofErr w:type="spellEnd"/>
      <w:r w:rsidRPr="007A4F57">
        <w:rPr>
          <w:rFonts w:cstheme="minorHAnsi"/>
        </w:rPr>
        <w:t xml:space="preserve">, la actuación ante la hemorragia </w:t>
      </w:r>
      <w:proofErr w:type="spellStart"/>
      <w:r w:rsidRPr="007A4F57">
        <w:rPr>
          <w:rFonts w:cstheme="minorHAnsi"/>
        </w:rPr>
        <w:t>intracerebral</w:t>
      </w:r>
      <w:proofErr w:type="spellEnd"/>
      <w:r w:rsidRPr="007A4F57">
        <w:rPr>
          <w:rFonts w:cstheme="minorHAnsi"/>
        </w:rPr>
        <w:t xml:space="preserve"> y el ataque isquémico transitorio. El centro dispone además de recomendaciones estructuradas para pacientes con ictus al alta hospitalaria.</w:t>
      </w:r>
    </w:p>
    <w:p w14:paraId="3D7043BD" w14:textId="77777777" w:rsidR="007A4F57" w:rsidRPr="007A4F57" w:rsidRDefault="007A4F57" w:rsidP="007A4F57">
      <w:pPr>
        <w:spacing w:after="0" w:line="240" w:lineRule="auto"/>
        <w:jc w:val="both"/>
        <w:rPr>
          <w:rFonts w:cstheme="minorHAnsi"/>
        </w:rPr>
      </w:pPr>
      <w:r w:rsidRPr="007A4F57">
        <w:rPr>
          <w:rFonts w:cstheme="minorHAnsi"/>
        </w:rPr>
        <w:t xml:space="preserve">En el </w:t>
      </w:r>
      <w:proofErr w:type="spellStart"/>
      <w:r w:rsidRPr="007A4F57">
        <w:rPr>
          <w:rFonts w:cstheme="minorHAnsi"/>
        </w:rPr>
        <w:t>Institut</w:t>
      </w:r>
      <w:proofErr w:type="spellEnd"/>
      <w:r w:rsidRPr="007A4F57">
        <w:rPr>
          <w:rFonts w:cstheme="minorHAnsi"/>
        </w:rPr>
        <w:t xml:space="preserve"> de Recerca en </w:t>
      </w:r>
      <w:proofErr w:type="spellStart"/>
      <w:r w:rsidRPr="007A4F57">
        <w:rPr>
          <w:rFonts w:cstheme="minorHAnsi"/>
        </w:rPr>
        <w:t>Ciències</w:t>
      </w:r>
      <w:proofErr w:type="spellEnd"/>
      <w:r w:rsidRPr="007A4F57">
        <w:rPr>
          <w:rFonts w:cstheme="minorHAnsi"/>
        </w:rPr>
        <w:t xml:space="preserve"> de la </w:t>
      </w:r>
      <w:proofErr w:type="spellStart"/>
      <w:r w:rsidRPr="007A4F57">
        <w:rPr>
          <w:rFonts w:cstheme="minorHAnsi"/>
        </w:rPr>
        <w:t>Salut</w:t>
      </w:r>
      <w:proofErr w:type="spellEnd"/>
      <w:r w:rsidRPr="007A4F57">
        <w:rPr>
          <w:rFonts w:cstheme="minorHAnsi"/>
        </w:rPr>
        <w:t xml:space="preserve"> </w:t>
      </w:r>
      <w:proofErr w:type="spellStart"/>
      <w:r w:rsidRPr="007A4F57">
        <w:rPr>
          <w:rFonts w:cstheme="minorHAnsi"/>
        </w:rPr>
        <w:t>Germans</w:t>
      </w:r>
      <w:proofErr w:type="spellEnd"/>
      <w:r w:rsidRPr="007A4F57">
        <w:rPr>
          <w:rFonts w:cstheme="minorHAnsi"/>
        </w:rPr>
        <w:t xml:space="preserve"> </w:t>
      </w:r>
      <w:proofErr w:type="spellStart"/>
      <w:r w:rsidRPr="007A4F57">
        <w:rPr>
          <w:rFonts w:cstheme="minorHAnsi"/>
        </w:rPr>
        <w:t>Trias</w:t>
      </w:r>
      <w:proofErr w:type="spellEnd"/>
      <w:r w:rsidRPr="007A4F57">
        <w:rPr>
          <w:rFonts w:cstheme="minorHAnsi"/>
        </w:rPr>
        <w:t xml:space="preserve"> i Pujol, el Código Retina trasladó a la asistencia una vía específica para la oclusión aguda de la arteria central de la retina, desarrollada junto con Oftalmología e integrada en la historia clínica digital con recogida directa de variables. El mismo entorno ha desarrollado CAMÍ, un programa de acompañamiento </w:t>
      </w:r>
      <w:proofErr w:type="spellStart"/>
      <w:r w:rsidRPr="007A4F57">
        <w:rPr>
          <w:rFonts w:cstheme="minorHAnsi"/>
        </w:rPr>
        <w:t>postictus</w:t>
      </w:r>
      <w:proofErr w:type="spellEnd"/>
      <w:r w:rsidRPr="007A4F57">
        <w:rPr>
          <w:rFonts w:cstheme="minorHAnsi"/>
        </w:rPr>
        <w:t xml:space="preserve"> coordinado con Atención Primaria, con información personalizada, seguimiento por gestores de casos, visita precoz tras el alta, detección de complicaciones y activación de recursos. La aplicación corporativa </w:t>
      </w:r>
      <w:proofErr w:type="spellStart"/>
      <w:r w:rsidRPr="007A4F57">
        <w:rPr>
          <w:rFonts w:cstheme="minorHAnsi"/>
        </w:rPr>
        <w:t>eSalut</w:t>
      </w:r>
      <w:proofErr w:type="spellEnd"/>
      <w:r w:rsidRPr="007A4F57">
        <w:rPr>
          <w:rFonts w:cstheme="minorHAnsi"/>
        </w:rPr>
        <w:t>-ICTUS complementa este circuito con información y seguimiento digital.</w:t>
      </w:r>
    </w:p>
    <w:p w14:paraId="16E377BD" w14:textId="77777777" w:rsidR="007A4F57" w:rsidRPr="007A4F57" w:rsidRDefault="007A4F57" w:rsidP="007A4F57">
      <w:pPr>
        <w:spacing w:after="0" w:line="240" w:lineRule="auto"/>
        <w:jc w:val="both"/>
        <w:rPr>
          <w:rFonts w:cstheme="minorHAnsi"/>
        </w:rPr>
      </w:pPr>
      <w:r w:rsidRPr="007A4F57">
        <w:rPr>
          <w:rFonts w:cstheme="minorHAnsi"/>
        </w:rPr>
        <w:t xml:space="preserve">La Fundación Jiménez Díaz implementó en marzo de 2024 su propio Código Ictus Retina, con protocolización y activación multidisciplinar para la atención de la isquemia retiniana aguda. En el </w:t>
      </w:r>
      <w:proofErr w:type="spellStart"/>
      <w:r w:rsidRPr="007A4F57">
        <w:rPr>
          <w:rFonts w:cstheme="minorHAnsi"/>
        </w:rPr>
        <w:t>Institut</w:t>
      </w:r>
      <w:proofErr w:type="spellEnd"/>
      <w:r w:rsidRPr="007A4F57">
        <w:rPr>
          <w:rFonts w:cstheme="minorHAnsi"/>
        </w:rPr>
        <w:t xml:space="preserve"> de Recerca en </w:t>
      </w:r>
      <w:proofErr w:type="spellStart"/>
      <w:r w:rsidRPr="007A4F57">
        <w:rPr>
          <w:rFonts w:cstheme="minorHAnsi"/>
        </w:rPr>
        <w:t>Ciències</w:t>
      </w:r>
      <w:proofErr w:type="spellEnd"/>
      <w:r w:rsidRPr="007A4F57">
        <w:rPr>
          <w:rFonts w:cstheme="minorHAnsi"/>
        </w:rPr>
        <w:t xml:space="preserve"> de la </w:t>
      </w:r>
      <w:proofErr w:type="spellStart"/>
      <w:r w:rsidRPr="007A4F57">
        <w:rPr>
          <w:rFonts w:cstheme="minorHAnsi"/>
        </w:rPr>
        <w:t>Salut</w:t>
      </w:r>
      <w:proofErr w:type="spellEnd"/>
      <w:r w:rsidRPr="007A4F57">
        <w:rPr>
          <w:rFonts w:cstheme="minorHAnsi"/>
        </w:rPr>
        <w:t xml:space="preserve"> </w:t>
      </w:r>
      <w:proofErr w:type="spellStart"/>
      <w:r w:rsidRPr="007A4F57">
        <w:rPr>
          <w:rFonts w:cstheme="minorHAnsi"/>
        </w:rPr>
        <w:t>Germans</w:t>
      </w:r>
      <w:proofErr w:type="spellEnd"/>
      <w:r w:rsidRPr="007A4F57">
        <w:rPr>
          <w:rFonts w:cstheme="minorHAnsi"/>
        </w:rPr>
        <w:t xml:space="preserve"> </w:t>
      </w:r>
      <w:proofErr w:type="spellStart"/>
      <w:r w:rsidRPr="007A4F57">
        <w:rPr>
          <w:rFonts w:cstheme="minorHAnsi"/>
        </w:rPr>
        <w:t>Trias</w:t>
      </w:r>
      <w:proofErr w:type="spellEnd"/>
      <w:r w:rsidRPr="007A4F57">
        <w:rPr>
          <w:rFonts w:cstheme="minorHAnsi"/>
        </w:rPr>
        <w:t xml:space="preserve"> i Pujol se ha implantado además un protocolo multidisciplinar específico para el manejo del ictus durante el embarazo y el puerperio, aprobado por el </w:t>
      </w:r>
      <w:proofErr w:type="spellStart"/>
      <w:r w:rsidRPr="007A4F57">
        <w:rPr>
          <w:rFonts w:cstheme="minorHAnsi"/>
        </w:rPr>
        <w:t>Institut</w:t>
      </w:r>
      <w:proofErr w:type="spellEnd"/>
      <w:r w:rsidRPr="007A4F57">
        <w:rPr>
          <w:rFonts w:cstheme="minorHAnsi"/>
        </w:rPr>
        <w:t xml:space="preserve"> </w:t>
      </w:r>
      <w:proofErr w:type="spellStart"/>
      <w:r w:rsidRPr="007A4F57">
        <w:rPr>
          <w:rFonts w:cstheme="minorHAnsi"/>
        </w:rPr>
        <w:t>Català</w:t>
      </w:r>
      <w:proofErr w:type="spellEnd"/>
      <w:r w:rsidRPr="007A4F57">
        <w:rPr>
          <w:rFonts w:cstheme="minorHAnsi"/>
        </w:rPr>
        <w:t xml:space="preserve"> de la </w:t>
      </w:r>
      <w:proofErr w:type="spellStart"/>
      <w:r w:rsidRPr="007A4F57">
        <w:rPr>
          <w:rFonts w:cstheme="minorHAnsi"/>
        </w:rPr>
        <w:t>Salut</w:t>
      </w:r>
      <w:proofErr w:type="spellEnd"/>
      <w:r w:rsidRPr="007A4F57">
        <w:rPr>
          <w:rFonts w:cstheme="minorHAnsi"/>
        </w:rPr>
        <w:t>, junto con el inicio de un registro prospectivo en centros del ICS para conocer incidencia, tratamientos, complicaciones y evolución clínica.</w:t>
      </w:r>
    </w:p>
    <w:p w14:paraId="2F754B7A" w14:textId="77777777" w:rsidR="007A4F57" w:rsidRPr="007A4F57" w:rsidRDefault="007A4F57" w:rsidP="007A4F57">
      <w:pPr>
        <w:spacing w:after="0" w:line="240" w:lineRule="auto"/>
        <w:jc w:val="both"/>
        <w:rPr>
          <w:rFonts w:cstheme="minorHAnsi"/>
        </w:rPr>
      </w:pPr>
      <w:r w:rsidRPr="007A4F57">
        <w:rPr>
          <w:rFonts w:cstheme="minorHAnsi"/>
        </w:rPr>
        <w:t xml:space="preserve">El Hospital Universitario La Paz ha incorporado vías clínicas y protocolos multidisciplinares de atención al ictus, Código Retina, Código Ictus intrahospitalario y el programa REVIDAS para recuperación vascular en enfermedad aterosclerótica sintomática. En el Hospital Universitario Donostia, la investigación aplicada se ha trasladado a la mejora del circuito hospitalario del Código Ictus, a un protocolo de vigilancia inguinal liderado por enfermería con ultrasonografía para pacientes sometidos a procedimientos </w:t>
      </w:r>
      <w:proofErr w:type="spellStart"/>
      <w:r w:rsidRPr="007A4F57">
        <w:rPr>
          <w:rFonts w:cstheme="minorHAnsi"/>
        </w:rPr>
        <w:t>endovasculares</w:t>
      </w:r>
      <w:proofErr w:type="spellEnd"/>
      <w:r w:rsidRPr="007A4F57">
        <w:rPr>
          <w:rFonts w:cstheme="minorHAnsi"/>
        </w:rPr>
        <w:t xml:space="preserve"> y a la optimización del estudio cardiológico y del uso de monitorización </w:t>
      </w:r>
      <w:proofErr w:type="spellStart"/>
      <w:r w:rsidRPr="007A4F57">
        <w:rPr>
          <w:rFonts w:cstheme="minorHAnsi"/>
        </w:rPr>
        <w:t>Holter</w:t>
      </w:r>
      <w:proofErr w:type="spellEnd"/>
      <w:r w:rsidRPr="007A4F57">
        <w:rPr>
          <w:rFonts w:cstheme="minorHAnsi"/>
        </w:rPr>
        <w:t xml:space="preserve"> prolongada tras ictus </w:t>
      </w:r>
      <w:proofErr w:type="spellStart"/>
      <w:r w:rsidRPr="007A4F57">
        <w:rPr>
          <w:rFonts w:cstheme="minorHAnsi"/>
        </w:rPr>
        <w:t>criptogénico</w:t>
      </w:r>
      <w:proofErr w:type="spellEnd"/>
      <w:r w:rsidRPr="007A4F57">
        <w:rPr>
          <w:rFonts w:cstheme="minorHAnsi"/>
        </w:rPr>
        <w:t>.</w:t>
      </w:r>
    </w:p>
    <w:p w14:paraId="41DD5B8A" w14:textId="77777777" w:rsidR="007A4F57" w:rsidRPr="007A4F57" w:rsidRDefault="007A4F57" w:rsidP="007A4F57">
      <w:pPr>
        <w:spacing w:after="0" w:line="240" w:lineRule="auto"/>
        <w:jc w:val="both"/>
        <w:rPr>
          <w:rFonts w:cstheme="minorHAnsi"/>
        </w:rPr>
      </w:pPr>
      <w:r w:rsidRPr="007A4F57">
        <w:rPr>
          <w:rFonts w:cstheme="minorHAnsi"/>
        </w:rPr>
        <w:t>En el Instituto de Investigación Sanitaria Hospital Universitario La Princesa, un estudio sobre ruido ambiental en la Unidad de Ictus ha generado ya una intervención de sensibilización dirigida a los equipos de Neurología y Enfermería. El proyecto prevé reevaluar posteriormente el entorno acústico y las variables fisiológicas para comprobar si las medidas adoptadas producen cambios objetivos, convirtiendo un resultado de investigación aplicada en una actuación concreta de mejora asistencial.</w:t>
      </w:r>
    </w:p>
    <w:p w14:paraId="640D9D44" w14:textId="44D930F2" w:rsidR="007A4F57" w:rsidRDefault="007A4F57" w:rsidP="007A4F57">
      <w:pPr>
        <w:spacing w:after="0" w:line="240" w:lineRule="auto"/>
        <w:jc w:val="both"/>
        <w:rPr>
          <w:rFonts w:cstheme="minorHAnsi"/>
        </w:rPr>
      </w:pPr>
      <w:r w:rsidRPr="007A4F57">
        <w:rPr>
          <w:rFonts w:cstheme="minorHAnsi"/>
        </w:rPr>
        <w:t>En el Hospital Universitario Miguel Servet se desarrolló un protocolo clínico para mejorar la detección y seguimiento del deterioro cognitivo vascular tras el ictus en pacientes jóvenes. La iniciativa ICTUS COG se ha extendido a otros tres hospitales, mostrando cómo un circuito inicialmente local puede crecer y facilitar una atención más sistemática a secuelas que a menudo pasan inadvertidas cuando el paciente no presenta una discapacidad motora grave.</w:t>
      </w:r>
    </w:p>
    <w:p w14:paraId="5B378582" w14:textId="66B6DF77" w:rsidR="0008422F" w:rsidRPr="007A4F57" w:rsidRDefault="0008422F" w:rsidP="007A4F57">
      <w:pPr>
        <w:spacing w:after="0" w:line="240" w:lineRule="auto"/>
        <w:jc w:val="both"/>
        <w:rPr>
          <w:rFonts w:cstheme="minorHAnsi"/>
        </w:rPr>
      </w:pPr>
      <w:r w:rsidRPr="0008422F">
        <w:rPr>
          <w:rFonts w:cstheme="minorHAnsi"/>
          <w:b/>
          <w:bCs/>
        </w:rPr>
        <w:t>Estos protocolos y circuitos trasladan la investigación a la práctica clínica y mejoran la atención al ictus.</w:t>
      </w:r>
    </w:p>
    <w:p w14:paraId="79571543" w14:textId="77777777" w:rsidR="007A4F57" w:rsidRPr="0008422F" w:rsidRDefault="007A4F57" w:rsidP="007A4F57">
      <w:pPr>
        <w:pStyle w:val="Ttulo2"/>
        <w:spacing w:before="0" w:line="240" w:lineRule="auto"/>
        <w:jc w:val="both"/>
        <w:rPr>
          <w:rFonts w:asciiTheme="minorHAnsi" w:hAnsiTheme="minorHAnsi" w:cstheme="minorHAnsi"/>
          <w:b/>
          <w:color w:val="2F5496" w:themeColor="accent5" w:themeShade="BF"/>
          <w:sz w:val="24"/>
          <w:szCs w:val="24"/>
          <w:u w:val="single"/>
        </w:rPr>
      </w:pPr>
      <w:r w:rsidRPr="0008422F">
        <w:rPr>
          <w:rFonts w:asciiTheme="minorHAnsi" w:hAnsiTheme="minorHAnsi" w:cstheme="minorHAnsi"/>
          <w:b/>
          <w:color w:val="2F5496" w:themeColor="accent5" w:themeShade="BF"/>
          <w:sz w:val="24"/>
          <w:szCs w:val="24"/>
          <w:u w:val="single"/>
        </w:rPr>
        <w:t>1.4. Prevención, continuidad y atención centrada en la persona</w:t>
      </w:r>
    </w:p>
    <w:p w14:paraId="1CD7AA32" w14:textId="77777777" w:rsidR="007A4F57" w:rsidRPr="007A4F57" w:rsidRDefault="007A4F57" w:rsidP="007A4F57">
      <w:pPr>
        <w:spacing w:after="0" w:line="240" w:lineRule="auto"/>
        <w:jc w:val="both"/>
        <w:rPr>
          <w:rFonts w:cstheme="minorHAnsi"/>
        </w:rPr>
      </w:pPr>
      <w:r w:rsidRPr="007A4F57">
        <w:rPr>
          <w:rFonts w:cstheme="minorHAnsi"/>
        </w:rPr>
        <w:t>La transferencia no termina en la fase aguda. El sistema SRA para la detección de riesgo de fibrilación auricular se implantó en la práctica clínica habitual de numerosas unidades de ictus de Cataluña y también en centros de otras comunidades autónomas. Esta línea de trabajo conecta con otros desarrollos de la Red dirigidos a mejorar la detección de fibrilación auricular oculta y a personalizar la prevención secundaria.</w:t>
      </w:r>
    </w:p>
    <w:p w14:paraId="18A90793" w14:textId="77777777" w:rsidR="007A4F57" w:rsidRPr="007A4F57" w:rsidRDefault="007A4F57" w:rsidP="007A4F57">
      <w:pPr>
        <w:spacing w:after="0" w:line="240" w:lineRule="auto"/>
        <w:jc w:val="both"/>
        <w:rPr>
          <w:rFonts w:cstheme="minorHAnsi"/>
        </w:rPr>
      </w:pPr>
      <w:r w:rsidRPr="007A4F57">
        <w:rPr>
          <w:rFonts w:cstheme="minorHAnsi"/>
        </w:rPr>
        <w:t xml:space="preserve">El Programa </w:t>
      </w:r>
      <w:proofErr w:type="spellStart"/>
      <w:r w:rsidRPr="007A4F57">
        <w:rPr>
          <w:rFonts w:cstheme="minorHAnsi"/>
        </w:rPr>
        <w:t>Pacient</w:t>
      </w:r>
      <w:proofErr w:type="spellEnd"/>
      <w:r w:rsidRPr="007A4F57">
        <w:rPr>
          <w:rFonts w:cstheme="minorHAnsi"/>
        </w:rPr>
        <w:t xml:space="preserve"> </w:t>
      </w:r>
      <w:proofErr w:type="spellStart"/>
      <w:r w:rsidRPr="007A4F57">
        <w:rPr>
          <w:rFonts w:cstheme="minorHAnsi"/>
        </w:rPr>
        <w:t>Expert</w:t>
      </w:r>
      <w:proofErr w:type="spellEnd"/>
      <w:r w:rsidRPr="007A4F57">
        <w:rPr>
          <w:rFonts w:cstheme="minorHAnsi"/>
        </w:rPr>
        <w:t xml:space="preserve"> Ictus, promovido por el </w:t>
      </w:r>
      <w:proofErr w:type="spellStart"/>
      <w:r w:rsidRPr="007A4F57">
        <w:rPr>
          <w:rFonts w:cstheme="minorHAnsi"/>
        </w:rPr>
        <w:t>Departament</w:t>
      </w:r>
      <w:proofErr w:type="spellEnd"/>
      <w:r w:rsidRPr="007A4F57">
        <w:rPr>
          <w:rFonts w:cstheme="minorHAnsi"/>
        </w:rPr>
        <w:t xml:space="preserve"> de </w:t>
      </w:r>
      <w:proofErr w:type="spellStart"/>
      <w:r w:rsidRPr="007A4F57">
        <w:rPr>
          <w:rFonts w:cstheme="minorHAnsi"/>
        </w:rPr>
        <w:t>Salut</w:t>
      </w:r>
      <w:proofErr w:type="spellEnd"/>
      <w:r w:rsidRPr="007A4F57">
        <w:rPr>
          <w:rFonts w:cstheme="minorHAnsi"/>
        </w:rPr>
        <w:t xml:space="preserve"> de la Generalitat de Catalunya, representa transferencia directa de conocimiento hacia pacientes y autocuidado. El </w:t>
      </w:r>
      <w:proofErr w:type="spellStart"/>
      <w:r w:rsidRPr="007A4F57">
        <w:rPr>
          <w:rFonts w:cstheme="minorHAnsi"/>
        </w:rPr>
        <w:t>Institut</w:t>
      </w:r>
      <w:proofErr w:type="spellEnd"/>
      <w:r w:rsidRPr="007A4F57">
        <w:rPr>
          <w:rFonts w:cstheme="minorHAnsi"/>
        </w:rPr>
        <w:t xml:space="preserve"> de Recerca </w:t>
      </w:r>
      <w:proofErr w:type="spellStart"/>
      <w:r w:rsidRPr="007A4F57">
        <w:rPr>
          <w:rFonts w:cstheme="minorHAnsi"/>
        </w:rPr>
        <w:t>Biomèdica</w:t>
      </w:r>
      <w:proofErr w:type="spellEnd"/>
      <w:r w:rsidRPr="007A4F57">
        <w:rPr>
          <w:rFonts w:cstheme="minorHAnsi"/>
        </w:rPr>
        <w:t xml:space="preserve"> de Girona Dr. Josep </w:t>
      </w:r>
      <w:proofErr w:type="spellStart"/>
      <w:r w:rsidRPr="007A4F57">
        <w:rPr>
          <w:rFonts w:cstheme="minorHAnsi"/>
        </w:rPr>
        <w:t>Trueta</w:t>
      </w:r>
      <w:proofErr w:type="spellEnd"/>
      <w:r w:rsidRPr="007A4F57">
        <w:rPr>
          <w:rFonts w:cstheme="minorHAnsi"/>
        </w:rPr>
        <w:t xml:space="preserve"> participó en la elaboración de la guía del programa y el Hospital </w:t>
      </w:r>
      <w:proofErr w:type="spellStart"/>
      <w:r w:rsidRPr="007A4F57">
        <w:rPr>
          <w:rFonts w:cstheme="minorHAnsi"/>
        </w:rPr>
        <w:t>Universitari</w:t>
      </w:r>
      <w:proofErr w:type="spellEnd"/>
      <w:r w:rsidRPr="007A4F57">
        <w:rPr>
          <w:rFonts w:cstheme="minorHAnsi"/>
        </w:rPr>
        <w:t xml:space="preserve"> Dr. Josep </w:t>
      </w:r>
      <w:proofErr w:type="spellStart"/>
      <w:r w:rsidRPr="007A4F57">
        <w:rPr>
          <w:rFonts w:cstheme="minorHAnsi"/>
        </w:rPr>
        <w:t>Trueta</w:t>
      </w:r>
      <w:proofErr w:type="spellEnd"/>
      <w:r w:rsidRPr="007A4F57">
        <w:rPr>
          <w:rFonts w:cstheme="minorHAnsi"/>
        </w:rPr>
        <w:t xml:space="preserve"> de Girona fue seleccionado como centro piloto para su implementación mediante sesiones grupales dirigidas a personas con ictus. La finalidad es favorecer autocuidado, adherencia y habilidades para manejar la enfermedad y evaluar su futura integración asistencial.</w:t>
      </w:r>
    </w:p>
    <w:p w14:paraId="279449DA" w14:textId="7A40B479" w:rsidR="007A4F57" w:rsidRDefault="007A4F57" w:rsidP="007A4F57">
      <w:pPr>
        <w:spacing w:after="0" w:line="240" w:lineRule="auto"/>
        <w:jc w:val="both"/>
        <w:rPr>
          <w:rFonts w:cstheme="minorHAnsi"/>
        </w:rPr>
      </w:pPr>
      <w:r w:rsidRPr="007A4F57">
        <w:rPr>
          <w:rFonts w:cstheme="minorHAnsi"/>
        </w:rPr>
        <w:t xml:space="preserve">La continuidad asistencial también se aborda mediante HARMONICS, un programa de implementación de atención al ictus basada en valor en colaboración con hospitales del </w:t>
      </w:r>
      <w:proofErr w:type="spellStart"/>
      <w:r w:rsidRPr="007A4F57">
        <w:rPr>
          <w:rFonts w:cstheme="minorHAnsi"/>
        </w:rPr>
        <w:t>Institut</w:t>
      </w:r>
      <w:proofErr w:type="spellEnd"/>
      <w:r w:rsidRPr="007A4F57">
        <w:rPr>
          <w:rFonts w:cstheme="minorHAnsi"/>
        </w:rPr>
        <w:t xml:space="preserve"> </w:t>
      </w:r>
      <w:proofErr w:type="spellStart"/>
      <w:r w:rsidRPr="007A4F57">
        <w:rPr>
          <w:rFonts w:cstheme="minorHAnsi"/>
        </w:rPr>
        <w:t>Català</w:t>
      </w:r>
      <w:proofErr w:type="spellEnd"/>
      <w:r w:rsidRPr="007A4F57">
        <w:rPr>
          <w:rFonts w:cstheme="minorHAnsi"/>
        </w:rPr>
        <w:t xml:space="preserve"> de la </w:t>
      </w:r>
      <w:proofErr w:type="spellStart"/>
      <w:r w:rsidRPr="007A4F57">
        <w:rPr>
          <w:rFonts w:cstheme="minorHAnsi"/>
        </w:rPr>
        <w:t>Salut</w:t>
      </w:r>
      <w:proofErr w:type="spellEnd"/>
      <w:r w:rsidRPr="007A4F57">
        <w:rPr>
          <w:rFonts w:cstheme="minorHAnsi"/>
        </w:rPr>
        <w:t>. Su orientación es trasladar a la práctica modelos de atención que conecten resultados clínicos, seguimiento y organización asistencial más allá del episodio agudo.</w:t>
      </w:r>
    </w:p>
    <w:p w14:paraId="1F587A79" w14:textId="77777777" w:rsidR="00F66330" w:rsidRPr="007A4F57" w:rsidRDefault="00F66330" w:rsidP="007A4F57">
      <w:pPr>
        <w:spacing w:after="0" w:line="240" w:lineRule="auto"/>
        <w:jc w:val="both"/>
        <w:rPr>
          <w:rFonts w:cstheme="minorHAnsi"/>
        </w:rPr>
      </w:pPr>
    </w:p>
    <w:p w14:paraId="07486CAA" w14:textId="77777777" w:rsidR="00F66330" w:rsidRPr="00F66330" w:rsidRDefault="00F66330" w:rsidP="00F66330">
      <w:pPr>
        <w:pStyle w:val="Ttulo1"/>
        <w:spacing w:before="0" w:line="240" w:lineRule="auto"/>
        <w:rPr>
          <w:rFonts w:asciiTheme="minorHAnsi" w:hAnsiTheme="minorHAnsi" w:cstheme="minorHAnsi"/>
          <w:b/>
          <w:color w:val="auto"/>
          <w:sz w:val="28"/>
          <w:szCs w:val="28"/>
        </w:rPr>
      </w:pPr>
      <w:r w:rsidRPr="00F66330">
        <w:rPr>
          <w:rFonts w:asciiTheme="minorHAnsi" w:hAnsiTheme="minorHAnsi" w:cstheme="minorHAnsi"/>
          <w:b/>
          <w:color w:val="auto"/>
          <w:sz w:val="28"/>
          <w:szCs w:val="28"/>
        </w:rPr>
        <w:t>2. Transferencia tecnológica e industrial</w:t>
      </w:r>
    </w:p>
    <w:p w14:paraId="007D67D1" w14:textId="77777777" w:rsidR="00F66330" w:rsidRPr="00F66330" w:rsidRDefault="00F66330" w:rsidP="00F66330">
      <w:pPr>
        <w:spacing w:after="0" w:line="240" w:lineRule="auto"/>
        <w:jc w:val="both"/>
        <w:rPr>
          <w:rFonts w:cstheme="minorHAnsi"/>
        </w:rPr>
      </w:pPr>
      <w:r w:rsidRPr="00F66330">
        <w:rPr>
          <w:rFonts w:cstheme="minorHAnsi"/>
        </w:rPr>
        <w:t>Otra vía esencial de transferencia consiste en convertir resultados científicos en activos que puedan desarrollarse, protegerse, licenciarse o validarse para uso clínico. RICORS-ICTUS reúne varios ejemplos en los que la investigación ha dado pasos concretos hacia empresas, propiedad industrial, regulación o desarrollo de producto.</w:t>
      </w:r>
    </w:p>
    <w:p w14:paraId="66046494" w14:textId="77777777" w:rsidR="00F66330" w:rsidRPr="00F66330" w:rsidRDefault="00F66330" w:rsidP="00F66330">
      <w:pPr>
        <w:pStyle w:val="Ttulo2"/>
        <w:spacing w:before="0" w:line="240" w:lineRule="auto"/>
        <w:jc w:val="both"/>
        <w:rPr>
          <w:rFonts w:asciiTheme="minorHAnsi" w:hAnsiTheme="minorHAnsi" w:cstheme="minorHAnsi"/>
          <w:b/>
          <w:color w:val="2F5496" w:themeColor="accent5" w:themeShade="BF"/>
          <w:sz w:val="22"/>
          <w:szCs w:val="22"/>
          <w:u w:val="single"/>
        </w:rPr>
      </w:pPr>
      <w:r w:rsidRPr="00F66330">
        <w:rPr>
          <w:rFonts w:asciiTheme="minorHAnsi" w:hAnsiTheme="minorHAnsi" w:cstheme="minorHAnsi"/>
          <w:b/>
          <w:color w:val="2F5496" w:themeColor="accent5" w:themeShade="BF"/>
          <w:sz w:val="22"/>
          <w:szCs w:val="22"/>
          <w:u w:val="single"/>
        </w:rPr>
        <w:t xml:space="preserve">2.1. </w:t>
      </w:r>
      <w:proofErr w:type="spellStart"/>
      <w:r w:rsidRPr="00F66330">
        <w:rPr>
          <w:rFonts w:asciiTheme="minorHAnsi" w:hAnsiTheme="minorHAnsi" w:cstheme="minorHAnsi"/>
          <w:b/>
          <w:color w:val="2F5496" w:themeColor="accent5" w:themeShade="BF"/>
          <w:sz w:val="22"/>
          <w:szCs w:val="22"/>
          <w:u w:val="single"/>
        </w:rPr>
        <w:t>ApTOLL</w:t>
      </w:r>
      <w:proofErr w:type="spellEnd"/>
      <w:r w:rsidRPr="00F66330">
        <w:rPr>
          <w:rFonts w:asciiTheme="minorHAnsi" w:hAnsiTheme="minorHAnsi" w:cstheme="minorHAnsi"/>
          <w:b/>
          <w:color w:val="2F5496" w:themeColor="accent5" w:themeShade="BF"/>
          <w:sz w:val="22"/>
          <w:szCs w:val="22"/>
          <w:u w:val="single"/>
        </w:rPr>
        <w:t>: de la investigación académica al desarrollo empresarial</w:t>
      </w:r>
    </w:p>
    <w:p w14:paraId="1D17190C" w14:textId="4DAC19F0" w:rsidR="00F66330" w:rsidRPr="00F66330" w:rsidRDefault="00F66330" w:rsidP="00F66330">
      <w:pPr>
        <w:spacing w:after="0" w:line="240" w:lineRule="auto"/>
        <w:jc w:val="both"/>
        <w:rPr>
          <w:rFonts w:cstheme="minorHAnsi"/>
        </w:rPr>
      </w:pPr>
      <w:proofErr w:type="spellStart"/>
      <w:r w:rsidRPr="00F66330">
        <w:rPr>
          <w:rFonts w:cstheme="minorHAnsi"/>
        </w:rPr>
        <w:t>ApTOLL</w:t>
      </w:r>
      <w:proofErr w:type="spellEnd"/>
      <w:r w:rsidRPr="00F66330">
        <w:rPr>
          <w:rFonts w:cstheme="minorHAnsi"/>
        </w:rPr>
        <w:t xml:space="preserve"> es una de las trayectorias más avanzadas. La molécula fue evaluada clínicamente en el ensayo APRIL y también se preparó su posible administración </w:t>
      </w:r>
      <w:proofErr w:type="spellStart"/>
      <w:r w:rsidRPr="00F66330">
        <w:rPr>
          <w:rFonts w:cstheme="minorHAnsi"/>
        </w:rPr>
        <w:t>prehospitalaria</w:t>
      </w:r>
      <w:proofErr w:type="spellEnd"/>
      <w:r w:rsidRPr="00F66330">
        <w:rPr>
          <w:rFonts w:cstheme="minorHAnsi"/>
        </w:rPr>
        <w:t xml:space="preserve"> en RACETOLL, con manufactura del fármaco adaptada a las condiciones de uso en ambulancias y desarrollo del protocolo clínico. Aunque RACETOLL no llegó a ejecutarse por decisiones internas de la empresa propietaria, </w:t>
      </w:r>
      <w:proofErr w:type="spellStart"/>
      <w:r w:rsidRPr="00F66330">
        <w:rPr>
          <w:rFonts w:cstheme="minorHAnsi"/>
        </w:rPr>
        <w:t>AptaTargets</w:t>
      </w:r>
      <w:proofErr w:type="spellEnd"/>
      <w:r w:rsidRPr="00F66330">
        <w:rPr>
          <w:rFonts w:cstheme="minorHAnsi"/>
        </w:rPr>
        <w:t xml:space="preserve"> transfirió posteriormente </w:t>
      </w:r>
      <w:proofErr w:type="spellStart"/>
      <w:r w:rsidRPr="00F66330">
        <w:rPr>
          <w:rFonts w:cstheme="minorHAnsi"/>
        </w:rPr>
        <w:t>ApTOLL</w:t>
      </w:r>
      <w:proofErr w:type="spellEnd"/>
      <w:r w:rsidRPr="00F66330">
        <w:rPr>
          <w:rFonts w:cstheme="minorHAnsi"/>
        </w:rPr>
        <w:t xml:space="preserve"> a Merck. Según la información comunicada por los grupos, Merck ha expresado la intención de desarrollar un ensayo fase III, NEXTOLL, para confirmar los resultados previos, aunque la fecha de inicio permanece pendiente.</w:t>
      </w:r>
    </w:p>
    <w:p w14:paraId="1A28A2ED" w14:textId="77777777" w:rsidR="00F66330" w:rsidRPr="00F66330" w:rsidRDefault="00F66330" w:rsidP="00F66330">
      <w:pPr>
        <w:pStyle w:val="Ttulo2"/>
        <w:spacing w:before="0" w:line="240" w:lineRule="auto"/>
        <w:jc w:val="both"/>
        <w:rPr>
          <w:rFonts w:asciiTheme="minorHAnsi" w:hAnsiTheme="minorHAnsi" w:cstheme="minorHAnsi"/>
          <w:b/>
          <w:color w:val="2F5496" w:themeColor="accent5" w:themeShade="BF"/>
          <w:sz w:val="24"/>
          <w:szCs w:val="24"/>
          <w:u w:val="single"/>
        </w:rPr>
      </w:pPr>
      <w:r w:rsidRPr="00F66330">
        <w:rPr>
          <w:rFonts w:asciiTheme="minorHAnsi" w:hAnsiTheme="minorHAnsi" w:cstheme="minorHAnsi"/>
          <w:b/>
          <w:color w:val="2F5496" w:themeColor="accent5" w:themeShade="BF"/>
          <w:sz w:val="24"/>
          <w:szCs w:val="24"/>
          <w:u w:val="single"/>
        </w:rPr>
        <w:t xml:space="preserve">2.2. </w:t>
      </w:r>
      <w:proofErr w:type="spellStart"/>
      <w:r w:rsidRPr="00F66330">
        <w:rPr>
          <w:rFonts w:asciiTheme="minorHAnsi" w:hAnsiTheme="minorHAnsi" w:cstheme="minorHAnsi"/>
          <w:b/>
          <w:color w:val="2F5496" w:themeColor="accent5" w:themeShade="BF"/>
          <w:sz w:val="24"/>
          <w:szCs w:val="24"/>
          <w:u w:val="single"/>
        </w:rPr>
        <w:t>rGOT</w:t>
      </w:r>
      <w:proofErr w:type="spellEnd"/>
      <w:r w:rsidRPr="00F66330">
        <w:rPr>
          <w:rFonts w:asciiTheme="minorHAnsi" w:hAnsiTheme="minorHAnsi" w:cstheme="minorHAnsi"/>
          <w:b/>
          <w:color w:val="2F5496" w:themeColor="accent5" w:themeShade="BF"/>
          <w:sz w:val="24"/>
          <w:szCs w:val="24"/>
          <w:u w:val="single"/>
        </w:rPr>
        <w:t xml:space="preserve">: propiedad industrial, validación </w:t>
      </w:r>
      <w:proofErr w:type="spellStart"/>
      <w:r w:rsidRPr="00F66330">
        <w:rPr>
          <w:rFonts w:asciiTheme="minorHAnsi" w:hAnsiTheme="minorHAnsi" w:cstheme="minorHAnsi"/>
          <w:b/>
          <w:color w:val="2F5496" w:themeColor="accent5" w:themeShade="BF"/>
          <w:sz w:val="24"/>
          <w:szCs w:val="24"/>
          <w:u w:val="single"/>
        </w:rPr>
        <w:t>multicéntrica</w:t>
      </w:r>
      <w:proofErr w:type="spellEnd"/>
      <w:r w:rsidRPr="00F66330">
        <w:rPr>
          <w:rFonts w:asciiTheme="minorHAnsi" w:hAnsiTheme="minorHAnsi" w:cstheme="minorHAnsi"/>
          <w:b/>
          <w:color w:val="2F5496" w:themeColor="accent5" w:themeShade="BF"/>
          <w:sz w:val="24"/>
          <w:szCs w:val="24"/>
          <w:u w:val="single"/>
        </w:rPr>
        <w:t xml:space="preserve"> y negociación con industria</w:t>
      </w:r>
    </w:p>
    <w:p w14:paraId="23FF1A9B" w14:textId="77777777" w:rsidR="00F66330" w:rsidRPr="00F66330" w:rsidRDefault="00F66330" w:rsidP="00F66330">
      <w:pPr>
        <w:spacing w:after="0" w:line="240" w:lineRule="auto"/>
        <w:jc w:val="both"/>
        <w:rPr>
          <w:rFonts w:cstheme="minorHAnsi"/>
        </w:rPr>
      </w:pPr>
      <w:r w:rsidRPr="00F66330">
        <w:rPr>
          <w:rFonts w:cstheme="minorHAnsi"/>
        </w:rPr>
        <w:t xml:space="preserve">La plataforma </w:t>
      </w:r>
      <w:proofErr w:type="spellStart"/>
      <w:r w:rsidRPr="00F66330">
        <w:rPr>
          <w:rFonts w:cstheme="minorHAnsi"/>
        </w:rPr>
        <w:t>rGOT</w:t>
      </w:r>
      <w:proofErr w:type="spellEnd"/>
      <w:r w:rsidRPr="00F66330">
        <w:rPr>
          <w:rFonts w:cstheme="minorHAnsi"/>
        </w:rPr>
        <w:t xml:space="preserve"> ha avanzado desde la investigación preclínica hacia la valorización industrial. El Instituto de Investigación Sanitaria de Santiago de Compostela ha impulsado el desarrollo de </w:t>
      </w:r>
      <w:proofErr w:type="spellStart"/>
      <w:r w:rsidRPr="00F66330">
        <w:rPr>
          <w:rFonts w:cstheme="minorHAnsi"/>
        </w:rPr>
        <w:t>rGOT</w:t>
      </w:r>
      <w:proofErr w:type="spellEnd"/>
      <w:r w:rsidRPr="00F66330">
        <w:rPr>
          <w:rFonts w:cstheme="minorHAnsi"/>
        </w:rPr>
        <w:t xml:space="preserve"> de nueva generación, incluyendo optimización farmacocinética, validación en diferentes modelos y protección de propiedad intelectual. La estrategia se amplió a varios centros para abordar uno de los principales retos de la </w:t>
      </w:r>
      <w:proofErr w:type="spellStart"/>
      <w:r w:rsidRPr="00F66330">
        <w:rPr>
          <w:rFonts w:cstheme="minorHAnsi"/>
        </w:rPr>
        <w:t>neuroprotección</w:t>
      </w:r>
      <w:proofErr w:type="spellEnd"/>
      <w:r w:rsidRPr="00F66330">
        <w:rPr>
          <w:rFonts w:cstheme="minorHAnsi"/>
        </w:rPr>
        <w:t xml:space="preserve">: la reproducibilidad entre laboratorios. En este contexto, el estudio preclínico </w:t>
      </w:r>
      <w:proofErr w:type="spellStart"/>
      <w:r w:rsidRPr="00F66330">
        <w:rPr>
          <w:rFonts w:cstheme="minorHAnsi"/>
        </w:rPr>
        <w:t>mGOTIS</w:t>
      </w:r>
      <w:proofErr w:type="spellEnd"/>
      <w:r w:rsidRPr="00F66330">
        <w:rPr>
          <w:rFonts w:cstheme="minorHAnsi"/>
        </w:rPr>
        <w:t xml:space="preserve"> cuenta con participación de varios grupos de RICORS-ICTUS, entre ellos el Instituto de Investigación Biomédica de Salamanca, y ha recibido financiación de la empresa </w:t>
      </w:r>
      <w:proofErr w:type="spellStart"/>
      <w:r w:rsidRPr="00F66330">
        <w:rPr>
          <w:rFonts w:cstheme="minorHAnsi"/>
        </w:rPr>
        <w:t>Algenex</w:t>
      </w:r>
      <w:proofErr w:type="spellEnd"/>
      <w:r w:rsidRPr="00F66330">
        <w:rPr>
          <w:rFonts w:cstheme="minorHAnsi"/>
        </w:rPr>
        <w:t xml:space="preserve">. La documentación remitida recoge una patente europea y negociaciones con INSUD </w:t>
      </w:r>
      <w:proofErr w:type="spellStart"/>
      <w:r w:rsidRPr="00F66330">
        <w:rPr>
          <w:rFonts w:cstheme="minorHAnsi"/>
        </w:rPr>
        <w:t>Pharma-Algenex</w:t>
      </w:r>
      <w:proofErr w:type="spellEnd"/>
      <w:r w:rsidRPr="00F66330">
        <w:rPr>
          <w:rFonts w:cstheme="minorHAnsi"/>
        </w:rPr>
        <w:t xml:space="preserve"> para su valorización y licencia.</w:t>
      </w:r>
    </w:p>
    <w:p w14:paraId="0CAC667E" w14:textId="77777777" w:rsidR="00F66330" w:rsidRPr="008D5105" w:rsidRDefault="00F66330" w:rsidP="008D5105">
      <w:pPr>
        <w:pStyle w:val="Ttulo2"/>
        <w:spacing w:before="0" w:line="240" w:lineRule="auto"/>
        <w:jc w:val="both"/>
        <w:rPr>
          <w:rFonts w:asciiTheme="minorHAnsi" w:hAnsiTheme="minorHAnsi" w:cstheme="minorHAnsi"/>
          <w:b/>
          <w:sz w:val="22"/>
          <w:szCs w:val="22"/>
        </w:rPr>
      </w:pPr>
      <w:r w:rsidRPr="008D5105">
        <w:rPr>
          <w:rFonts w:asciiTheme="minorHAnsi" w:hAnsiTheme="minorHAnsi" w:cstheme="minorHAnsi"/>
          <w:b/>
          <w:color w:val="2F5496" w:themeColor="accent5" w:themeShade="BF"/>
          <w:sz w:val="22"/>
          <w:szCs w:val="22"/>
          <w:u w:val="single"/>
        </w:rPr>
        <w:t>2.3.</w:t>
      </w:r>
      <w:r w:rsidRPr="008D5105">
        <w:rPr>
          <w:rFonts w:asciiTheme="minorHAnsi" w:hAnsiTheme="minorHAnsi" w:cstheme="minorHAnsi"/>
          <w:b/>
          <w:color w:val="2F5496" w:themeColor="accent5" w:themeShade="BF"/>
          <w:sz w:val="22"/>
          <w:szCs w:val="22"/>
        </w:rPr>
        <w:t xml:space="preserve"> </w:t>
      </w:r>
      <w:proofErr w:type="spellStart"/>
      <w:r w:rsidRPr="008D5105">
        <w:rPr>
          <w:rFonts w:asciiTheme="minorHAnsi" w:hAnsiTheme="minorHAnsi" w:cstheme="minorHAnsi"/>
          <w:b/>
          <w:color w:val="2F5496" w:themeColor="accent5" w:themeShade="BF"/>
          <w:sz w:val="24"/>
          <w:szCs w:val="24"/>
          <w:u w:val="single"/>
        </w:rPr>
        <w:t>Apotransferrina</w:t>
      </w:r>
      <w:proofErr w:type="spellEnd"/>
      <w:r w:rsidRPr="008D5105">
        <w:rPr>
          <w:rFonts w:asciiTheme="minorHAnsi" w:hAnsiTheme="minorHAnsi" w:cstheme="minorHAnsi"/>
          <w:b/>
          <w:color w:val="2F5496" w:themeColor="accent5" w:themeShade="BF"/>
          <w:sz w:val="24"/>
          <w:szCs w:val="24"/>
          <w:u w:val="single"/>
        </w:rPr>
        <w:t xml:space="preserve">: codesarrollo con empresa y diagnóstico </w:t>
      </w:r>
      <w:proofErr w:type="spellStart"/>
      <w:r w:rsidRPr="008D5105">
        <w:rPr>
          <w:rFonts w:asciiTheme="minorHAnsi" w:hAnsiTheme="minorHAnsi" w:cstheme="minorHAnsi"/>
          <w:b/>
          <w:color w:val="2F5496" w:themeColor="accent5" w:themeShade="BF"/>
          <w:sz w:val="24"/>
          <w:szCs w:val="24"/>
          <w:u w:val="single"/>
        </w:rPr>
        <w:t>point</w:t>
      </w:r>
      <w:proofErr w:type="spellEnd"/>
      <w:r w:rsidRPr="008D5105">
        <w:rPr>
          <w:rFonts w:asciiTheme="minorHAnsi" w:hAnsiTheme="minorHAnsi" w:cstheme="minorHAnsi"/>
          <w:b/>
          <w:color w:val="2F5496" w:themeColor="accent5" w:themeShade="BF"/>
          <w:sz w:val="24"/>
          <w:szCs w:val="24"/>
          <w:u w:val="single"/>
        </w:rPr>
        <w:t>-of-</w:t>
      </w:r>
      <w:proofErr w:type="spellStart"/>
      <w:r w:rsidRPr="008D5105">
        <w:rPr>
          <w:rFonts w:asciiTheme="minorHAnsi" w:hAnsiTheme="minorHAnsi" w:cstheme="minorHAnsi"/>
          <w:b/>
          <w:color w:val="2F5496" w:themeColor="accent5" w:themeShade="BF"/>
          <w:sz w:val="24"/>
          <w:szCs w:val="24"/>
          <w:u w:val="single"/>
        </w:rPr>
        <w:t>care</w:t>
      </w:r>
      <w:proofErr w:type="spellEnd"/>
    </w:p>
    <w:p w14:paraId="4CE4B81E" w14:textId="77777777" w:rsidR="00F66330" w:rsidRPr="00F66330" w:rsidRDefault="00F66330" w:rsidP="008D5105">
      <w:pPr>
        <w:spacing w:after="0" w:line="240" w:lineRule="auto"/>
        <w:jc w:val="both"/>
        <w:rPr>
          <w:rFonts w:cstheme="minorHAnsi"/>
        </w:rPr>
      </w:pPr>
      <w:r w:rsidRPr="00F66330">
        <w:rPr>
          <w:rFonts w:cstheme="minorHAnsi"/>
        </w:rPr>
        <w:t xml:space="preserve">La estrategia basada en </w:t>
      </w:r>
      <w:proofErr w:type="spellStart"/>
      <w:r w:rsidRPr="00F66330">
        <w:rPr>
          <w:rFonts w:cstheme="minorHAnsi"/>
        </w:rPr>
        <w:t>apotransferrina</w:t>
      </w:r>
      <w:proofErr w:type="spellEnd"/>
      <w:r w:rsidRPr="00F66330">
        <w:rPr>
          <w:rFonts w:cstheme="minorHAnsi"/>
        </w:rPr>
        <w:t xml:space="preserve"> combina una terapia </w:t>
      </w:r>
      <w:proofErr w:type="spellStart"/>
      <w:r w:rsidRPr="00F66330">
        <w:rPr>
          <w:rFonts w:cstheme="minorHAnsi"/>
        </w:rPr>
        <w:t>neuroprotectora</w:t>
      </w:r>
      <w:proofErr w:type="spellEnd"/>
      <w:r w:rsidRPr="00F66330">
        <w:rPr>
          <w:rFonts w:cstheme="minorHAnsi"/>
        </w:rPr>
        <w:t xml:space="preserve"> patentada con un desarrollo diagnóstico complementario. Tras resultados previos que relacionaron la saturación de </w:t>
      </w:r>
      <w:proofErr w:type="spellStart"/>
      <w:r w:rsidRPr="00F66330">
        <w:rPr>
          <w:rFonts w:cstheme="minorHAnsi"/>
        </w:rPr>
        <w:t>transferrina</w:t>
      </w:r>
      <w:proofErr w:type="spellEnd"/>
      <w:r w:rsidRPr="00F66330">
        <w:rPr>
          <w:rFonts w:cstheme="minorHAnsi"/>
        </w:rPr>
        <w:t xml:space="preserve"> con la respuesta al tratamiento, el </w:t>
      </w:r>
      <w:proofErr w:type="spellStart"/>
      <w:r w:rsidRPr="00F66330">
        <w:rPr>
          <w:rFonts w:cstheme="minorHAnsi"/>
        </w:rPr>
        <w:t>Institut</w:t>
      </w:r>
      <w:proofErr w:type="spellEnd"/>
      <w:r w:rsidRPr="00F66330">
        <w:rPr>
          <w:rFonts w:cstheme="minorHAnsi"/>
        </w:rPr>
        <w:t xml:space="preserve"> de Recerca en </w:t>
      </w:r>
      <w:proofErr w:type="spellStart"/>
      <w:r w:rsidRPr="00F66330">
        <w:rPr>
          <w:rFonts w:cstheme="minorHAnsi"/>
        </w:rPr>
        <w:t>Ciències</w:t>
      </w:r>
      <w:proofErr w:type="spellEnd"/>
      <w:r w:rsidRPr="00F66330">
        <w:rPr>
          <w:rFonts w:cstheme="minorHAnsi"/>
        </w:rPr>
        <w:t xml:space="preserve"> de la </w:t>
      </w:r>
      <w:proofErr w:type="spellStart"/>
      <w:r w:rsidRPr="00F66330">
        <w:rPr>
          <w:rFonts w:cstheme="minorHAnsi"/>
        </w:rPr>
        <w:t>Salut</w:t>
      </w:r>
      <w:proofErr w:type="spellEnd"/>
      <w:r w:rsidRPr="00F66330">
        <w:rPr>
          <w:rFonts w:cstheme="minorHAnsi"/>
        </w:rPr>
        <w:t xml:space="preserve"> </w:t>
      </w:r>
      <w:proofErr w:type="spellStart"/>
      <w:r w:rsidRPr="00F66330">
        <w:rPr>
          <w:rFonts w:cstheme="minorHAnsi"/>
        </w:rPr>
        <w:t>Germans</w:t>
      </w:r>
      <w:proofErr w:type="spellEnd"/>
      <w:r w:rsidRPr="00F66330">
        <w:rPr>
          <w:rFonts w:cstheme="minorHAnsi"/>
        </w:rPr>
        <w:t xml:space="preserve"> </w:t>
      </w:r>
      <w:proofErr w:type="spellStart"/>
      <w:r w:rsidRPr="00F66330">
        <w:rPr>
          <w:rFonts w:cstheme="minorHAnsi"/>
        </w:rPr>
        <w:t>Trias</w:t>
      </w:r>
      <w:proofErr w:type="spellEnd"/>
      <w:r w:rsidRPr="00F66330">
        <w:rPr>
          <w:rFonts w:cstheme="minorHAnsi"/>
        </w:rPr>
        <w:t xml:space="preserve"> i Pujol avanzó hacia el codesarrollo y la prueba de concepto en modelo porcino junto con </w:t>
      </w:r>
      <w:proofErr w:type="spellStart"/>
      <w:r w:rsidRPr="00F66330">
        <w:rPr>
          <w:rFonts w:cstheme="minorHAnsi"/>
        </w:rPr>
        <w:t>Prothya</w:t>
      </w:r>
      <w:proofErr w:type="spellEnd"/>
      <w:r w:rsidRPr="00F66330">
        <w:rPr>
          <w:rFonts w:cstheme="minorHAnsi"/>
        </w:rPr>
        <w:t xml:space="preserve"> </w:t>
      </w:r>
      <w:proofErr w:type="spellStart"/>
      <w:r w:rsidRPr="00F66330">
        <w:rPr>
          <w:rFonts w:cstheme="minorHAnsi"/>
        </w:rPr>
        <w:t>Biosolutions</w:t>
      </w:r>
      <w:proofErr w:type="spellEnd"/>
      <w:r w:rsidRPr="00F66330">
        <w:rPr>
          <w:rFonts w:cstheme="minorHAnsi"/>
        </w:rPr>
        <w:t xml:space="preserve"> B.V., empresa titular de la patente del método de producción de </w:t>
      </w:r>
      <w:proofErr w:type="spellStart"/>
      <w:r w:rsidRPr="00F66330">
        <w:rPr>
          <w:rFonts w:cstheme="minorHAnsi"/>
        </w:rPr>
        <w:t>apotransferrina</w:t>
      </w:r>
      <w:proofErr w:type="spellEnd"/>
      <w:r w:rsidRPr="00F66330">
        <w:rPr>
          <w:rFonts w:cstheme="minorHAnsi"/>
        </w:rPr>
        <w:t xml:space="preserve"> humana. El proyecto de innovación PERIS financia parte del estudio preclínico PREVENTER-S y la empresa ha mostrado interés en el desarrollo clínico de la estrategia. Paralelamente, se ha </w:t>
      </w:r>
      <w:proofErr w:type="spellStart"/>
      <w:r w:rsidRPr="00F66330">
        <w:rPr>
          <w:rFonts w:cstheme="minorHAnsi"/>
        </w:rPr>
        <w:t>codesarrollado</w:t>
      </w:r>
      <w:proofErr w:type="spellEnd"/>
      <w:r w:rsidRPr="00F66330">
        <w:rPr>
          <w:rFonts w:cstheme="minorHAnsi"/>
        </w:rPr>
        <w:t xml:space="preserve"> con la Universidad de Alcalá una tecnología </w:t>
      </w:r>
      <w:proofErr w:type="spellStart"/>
      <w:r w:rsidRPr="00F66330">
        <w:rPr>
          <w:rFonts w:cstheme="minorHAnsi"/>
        </w:rPr>
        <w:t>point</w:t>
      </w:r>
      <w:proofErr w:type="spellEnd"/>
      <w:r w:rsidRPr="00F66330">
        <w:rPr>
          <w:rFonts w:cstheme="minorHAnsi"/>
        </w:rPr>
        <w:t>-of-</w:t>
      </w:r>
      <w:proofErr w:type="spellStart"/>
      <w:r w:rsidRPr="00F66330">
        <w:rPr>
          <w:rFonts w:cstheme="minorHAnsi"/>
        </w:rPr>
        <w:t>care</w:t>
      </w:r>
      <w:proofErr w:type="spellEnd"/>
      <w:r w:rsidRPr="00F66330">
        <w:rPr>
          <w:rFonts w:cstheme="minorHAnsi"/>
        </w:rPr>
        <w:t xml:space="preserve"> para cuantificar rápidamente la saturación de </w:t>
      </w:r>
      <w:proofErr w:type="spellStart"/>
      <w:r w:rsidRPr="00F66330">
        <w:rPr>
          <w:rFonts w:cstheme="minorHAnsi"/>
        </w:rPr>
        <w:t>transferrina</w:t>
      </w:r>
      <w:proofErr w:type="spellEnd"/>
      <w:r w:rsidRPr="00F66330">
        <w:rPr>
          <w:rFonts w:cstheme="minorHAnsi"/>
        </w:rPr>
        <w:t>, reforzando la posibilidad de seleccionar y monitorizar pacientes en un futuro desarrollo clínico.</w:t>
      </w:r>
    </w:p>
    <w:p w14:paraId="7D782BE7" w14:textId="77777777" w:rsidR="00F66330" w:rsidRPr="008D5105" w:rsidRDefault="00F66330" w:rsidP="008D5105">
      <w:pPr>
        <w:pStyle w:val="Ttulo2"/>
        <w:spacing w:before="0" w:line="240" w:lineRule="auto"/>
        <w:jc w:val="both"/>
        <w:rPr>
          <w:rFonts w:asciiTheme="minorHAnsi" w:hAnsiTheme="minorHAnsi" w:cstheme="minorHAnsi"/>
          <w:b/>
          <w:color w:val="2F5496" w:themeColor="accent5" w:themeShade="BF"/>
          <w:sz w:val="24"/>
          <w:szCs w:val="24"/>
          <w:u w:val="single"/>
        </w:rPr>
      </w:pPr>
      <w:r w:rsidRPr="008D5105">
        <w:rPr>
          <w:rFonts w:asciiTheme="minorHAnsi" w:hAnsiTheme="minorHAnsi" w:cstheme="minorHAnsi"/>
          <w:b/>
          <w:color w:val="2F5496" w:themeColor="accent5" w:themeShade="BF"/>
          <w:sz w:val="24"/>
          <w:szCs w:val="24"/>
          <w:u w:val="single"/>
        </w:rPr>
        <w:t>2.4. RACE-PLUS y RUSH-</w:t>
      </w:r>
      <w:proofErr w:type="spellStart"/>
      <w:r w:rsidRPr="008D5105">
        <w:rPr>
          <w:rFonts w:asciiTheme="minorHAnsi" w:hAnsiTheme="minorHAnsi" w:cstheme="minorHAnsi"/>
          <w:b/>
          <w:color w:val="2F5496" w:themeColor="accent5" w:themeShade="BF"/>
          <w:sz w:val="24"/>
          <w:szCs w:val="24"/>
          <w:u w:val="single"/>
        </w:rPr>
        <w:t>PoC</w:t>
      </w:r>
      <w:proofErr w:type="spellEnd"/>
      <w:r w:rsidRPr="008D5105">
        <w:rPr>
          <w:rFonts w:asciiTheme="minorHAnsi" w:hAnsiTheme="minorHAnsi" w:cstheme="minorHAnsi"/>
          <w:b/>
          <w:color w:val="2F5496" w:themeColor="accent5" w:themeShade="BF"/>
          <w:sz w:val="24"/>
          <w:szCs w:val="24"/>
          <w:u w:val="single"/>
        </w:rPr>
        <w:t xml:space="preserve">: herramientas </w:t>
      </w:r>
      <w:proofErr w:type="spellStart"/>
      <w:r w:rsidRPr="008D5105">
        <w:rPr>
          <w:rFonts w:asciiTheme="minorHAnsi" w:hAnsiTheme="minorHAnsi" w:cstheme="minorHAnsi"/>
          <w:b/>
          <w:color w:val="2F5496" w:themeColor="accent5" w:themeShade="BF"/>
          <w:sz w:val="24"/>
          <w:szCs w:val="24"/>
          <w:u w:val="single"/>
        </w:rPr>
        <w:t>prehospitalarias</w:t>
      </w:r>
      <w:proofErr w:type="spellEnd"/>
      <w:r w:rsidRPr="008D5105">
        <w:rPr>
          <w:rFonts w:asciiTheme="minorHAnsi" w:hAnsiTheme="minorHAnsi" w:cstheme="minorHAnsi"/>
          <w:b/>
          <w:color w:val="2F5496" w:themeColor="accent5" w:themeShade="BF"/>
          <w:sz w:val="24"/>
          <w:szCs w:val="24"/>
          <w:u w:val="single"/>
        </w:rPr>
        <w:t xml:space="preserve"> en camino regulatorio</w:t>
      </w:r>
    </w:p>
    <w:p w14:paraId="06392CB7" w14:textId="77777777" w:rsidR="00F66330" w:rsidRPr="00F66330" w:rsidRDefault="00F66330" w:rsidP="008D5105">
      <w:pPr>
        <w:spacing w:after="0" w:line="240" w:lineRule="auto"/>
        <w:jc w:val="both"/>
        <w:rPr>
          <w:rFonts w:cstheme="minorHAnsi"/>
        </w:rPr>
      </w:pPr>
      <w:r w:rsidRPr="00F66330">
        <w:rPr>
          <w:rFonts w:cstheme="minorHAnsi"/>
        </w:rPr>
        <w:t>RACE-PLUS representa un salto desde una escala clínica ampliamente utilizada hacia una herramienta de apoyo a la decisión basada en inteligencia artificial. El proyecto ha obtenido financiación competitiva, certificado ITEMAS y reconocimiento en programas de innovación. Para su validación en condiciones reales se ha organizado RACE-PLUS-CAT, con participación prevista de 15 centros catalanes y los Servicios de Emergencias Médicas. La documentación para validar RACE-PLUS como dispositivo médico fue enviada a la AEMPS en agosto de 2026, paso necesario para iniciar el estudio, previsto con una inclusión de 3.500 pacientes.</w:t>
      </w:r>
    </w:p>
    <w:p w14:paraId="5A751C41" w14:textId="77777777" w:rsidR="00F66330" w:rsidRPr="00F66330" w:rsidRDefault="00F66330" w:rsidP="008D5105">
      <w:pPr>
        <w:spacing w:after="0" w:line="240" w:lineRule="auto"/>
        <w:jc w:val="both"/>
        <w:rPr>
          <w:rFonts w:cstheme="minorHAnsi"/>
        </w:rPr>
      </w:pPr>
      <w:r w:rsidRPr="00F66330">
        <w:rPr>
          <w:rFonts w:cstheme="minorHAnsi"/>
        </w:rPr>
        <w:t>En paralelo, RUSH-</w:t>
      </w:r>
      <w:proofErr w:type="spellStart"/>
      <w:r w:rsidRPr="00F66330">
        <w:rPr>
          <w:rFonts w:cstheme="minorHAnsi"/>
        </w:rPr>
        <w:t>PoC</w:t>
      </w:r>
      <w:proofErr w:type="spellEnd"/>
      <w:r w:rsidRPr="00F66330">
        <w:rPr>
          <w:rFonts w:cstheme="minorHAnsi"/>
        </w:rPr>
        <w:t xml:space="preserve"> busca trasladar </w:t>
      </w:r>
      <w:proofErr w:type="spellStart"/>
      <w:r w:rsidRPr="00F66330">
        <w:rPr>
          <w:rFonts w:cstheme="minorHAnsi"/>
        </w:rPr>
        <w:t>biomarcadores</w:t>
      </w:r>
      <w:proofErr w:type="spellEnd"/>
      <w:r w:rsidRPr="00F66330">
        <w:rPr>
          <w:rFonts w:cstheme="minorHAnsi"/>
        </w:rPr>
        <w:t xml:space="preserve"> a un test </w:t>
      </w:r>
      <w:proofErr w:type="spellStart"/>
      <w:r w:rsidRPr="00F66330">
        <w:rPr>
          <w:rFonts w:cstheme="minorHAnsi"/>
        </w:rPr>
        <w:t>point</w:t>
      </w:r>
      <w:proofErr w:type="spellEnd"/>
      <w:r w:rsidRPr="00F66330">
        <w:rPr>
          <w:rFonts w:cstheme="minorHAnsi"/>
        </w:rPr>
        <w:t>-of-</w:t>
      </w:r>
      <w:proofErr w:type="spellStart"/>
      <w:r w:rsidRPr="00F66330">
        <w:rPr>
          <w:rFonts w:cstheme="minorHAnsi"/>
        </w:rPr>
        <w:t>care</w:t>
      </w:r>
      <w:proofErr w:type="spellEnd"/>
      <w:r w:rsidRPr="00F66330">
        <w:rPr>
          <w:rFonts w:cstheme="minorHAnsi"/>
        </w:rPr>
        <w:t xml:space="preserve"> capaz de diferenciar ictus isquémico y hemorrágico en entornos </w:t>
      </w:r>
      <w:proofErr w:type="spellStart"/>
      <w:r w:rsidRPr="00F66330">
        <w:rPr>
          <w:rFonts w:cstheme="minorHAnsi"/>
        </w:rPr>
        <w:t>prehospitalarios</w:t>
      </w:r>
      <w:proofErr w:type="spellEnd"/>
      <w:r w:rsidRPr="00F66330">
        <w:rPr>
          <w:rFonts w:cstheme="minorHAnsi"/>
        </w:rPr>
        <w:t xml:space="preserve">. El proyecto ha recibido financiación específica de innovación y se apoya en un modelo porcino humanizado que también ha atraído interés industrial internacional, incluido un encargo de Bayer como CRO. Los </w:t>
      </w:r>
      <w:proofErr w:type="spellStart"/>
      <w:r w:rsidRPr="00F66330">
        <w:rPr>
          <w:rFonts w:cstheme="minorHAnsi"/>
        </w:rPr>
        <w:t>biomarcadores</w:t>
      </w:r>
      <w:proofErr w:type="spellEnd"/>
      <w:r w:rsidRPr="00F66330">
        <w:rPr>
          <w:rFonts w:cstheme="minorHAnsi"/>
        </w:rPr>
        <w:t xml:space="preserve"> candidatos se encuentran en proceso de validación clínica y estudio de </w:t>
      </w:r>
      <w:proofErr w:type="spellStart"/>
      <w:r w:rsidRPr="00F66330">
        <w:rPr>
          <w:rFonts w:cstheme="minorHAnsi"/>
        </w:rPr>
        <w:t>patentabilidad</w:t>
      </w:r>
      <w:proofErr w:type="spellEnd"/>
      <w:r w:rsidRPr="00F66330">
        <w:rPr>
          <w:rFonts w:cstheme="minorHAnsi"/>
        </w:rPr>
        <w:t>.</w:t>
      </w:r>
    </w:p>
    <w:p w14:paraId="59C9D728" w14:textId="77777777" w:rsidR="00F66330" w:rsidRPr="008D5105" w:rsidRDefault="00F66330" w:rsidP="008D5105">
      <w:pPr>
        <w:pStyle w:val="Ttulo2"/>
        <w:spacing w:before="0" w:line="240" w:lineRule="auto"/>
        <w:jc w:val="both"/>
        <w:rPr>
          <w:rFonts w:asciiTheme="minorHAnsi" w:hAnsiTheme="minorHAnsi" w:cstheme="minorHAnsi"/>
          <w:b/>
          <w:color w:val="2F5496" w:themeColor="accent5" w:themeShade="BF"/>
          <w:sz w:val="24"/>
          <w:szCs w:val="24"/>
        </w:rPr>
      </w:pPr>
      <w:r w:rsidRPr="008D5105">
        <w:rPr>
          <w:rFonts w:asciiTheme="minorHAnsi" w:hAnsiTheme="minorHAnsi" w:cstheme="minorHAnsi"/>
          <w:b/>
          <w:color w:val="2F5496" w:themeColor="accent5" w:themeShade="BF"/>
          <w:sz w:val="24"/>
          <w:szCs w:val="24"/>
        </w:rPr>
        <w:t xml:space="preserve">2.5. </w:t>
      </w:r>
      <w:proofErr w:type="spellStart"/>
      <w:r w:rsidRPr="008D5105">
        <w:rPr>
          <w:rFonts w:asciiTheme="minorHAnsi" w:hAnsiTheme="minorHAnsi" w:cstheme="minorHAnsi"/>
          <w:b/>
          <w:color w:val="2F5496" w:themeColor="accent5" w:themeShade="BF"/>
          <w:sz w:val="24"/>
          <w:szCs w:val="24"/>
        </w:rPr>
        <w:t>Biomarcadores</w:t>
      </w:r>
      <w:proofErr w:type="spellEnd"/>
      <w:r w:rsidRPr="008D5105">
        <w:rPr>
          <w:rFonts w:asciiTheme="minorHAnsi" w:hAnsiTheme="minorHAnsi" w:cstheme="minorHAnsi"/>
          <w:b/>
          <w:color w:val="2F5496" w:themeColor="accent5" w:themeShade="BF"/>
          <w:sz w:val="24"/>
          <w:szCs w:val="24"/>
        </w:rPr>
        <w:t xml:space="preserve"> de estenosis </w:t>
      </w:r>
      <w:proofErr w:type="spellStart"/>
      <w:r w:rsidRPr="008D5105">
        <w:rPr>
          <w:rFonts w:asciiTheme="minorHAnsi" w:hAnsiTheme="minorHAnsi" w:cstheme="minorHAnsi"/>
          <w:b/>
          <w:color w:val="2F5496" w:themeColor="accent5" w:themeShade="BF"/>
          <w:sz w:val="24"/>
          <w:szCs w:val="24"/>
        </w:rPr>
        <w:t>carotídea</w:t>
      </w:r>
      <w:proofErr w:type="spellEnd"/>
      <w:r w:rsidRPr="008D5105">
        <w:rPr>
          <w:rFonts w:asciiTheme="minorHAnsi" w:hAnsiTheme="minorHAnsi" w:cstheme="minorHAnsi"/>
          <w:b/>
          <w:color w:val="2F5496" w:themeColor="accent5" w:themeShade="BF"/>
          <w:sz w:val="24"/>
          <w:szCs w:val="24"/>
        </w:rPr>
        <w:t>: valorización, regulación y mercado</w:t>
      </w:r>
    </w:p>
    <w:p w14:paraId="2F5008CD" w14:textId="77777777" w:rsidR="00F66330" w:rsidRPr="00F66330" w:rsidRDefault="00F66330" w:rsidP="008D5105">
      <w:pPr>
        <w:spacing w:after="0" w:line="240" w:lineRule="auto"/>
        <w:jc w:val="both"/>
        <w:rPr>
          <w:rFonts w:cstheme="minorHAnsi"/>
        </w:rPr>
      </w:pPr>
      <w:r w:rsidRPr="00F66330">
        <w:rPr>
          <w:rFonts w:cstheme="minorHAnsi"/>
        </w:rPr>
        <w:t xml:space="preserve">El </w:t>
      </w:r>
      <w:proofErr w:type="spellStart"/>
      <w:r w:rsidRPr="00F66330">
        <w:rPr>
          <w:rFonts w:cstheme="minorHAnsi"/>
        </w:rPr>
        <w:t>Institut</w:t>
      </w:r>
      <w:proofErr w:type="spellEnd"/>
      <w:r w:rsidRPr="00F66330">
        <w:rPr>
          <w:rFonts w:cstheme="minorHAnsi"/>
        </w:rPr>
        <w:t xml:space="preserve"> de Recerca </w:t>
      </w:r>
      <w:proofErr w:type="spellStart"/>
      <w:r w:rsidRPr="00F66330">
        <w:rPr>
          <w:rFonts w:cstheme="minorHAnsi"/>
        </w:rPr>
        <w:t>Biomèdica</w:t>
      </w:r>
      <w:proofErr w:type="spellEnd"/>
      <w:r w:rsidRPr="00F66330">
        <w:rPr>
          <w:rFonts w:cstheme="minorHAnsi"/>
        </w:rPr>
        <w:t xml:space="preserve"> de Girona Dr. Josep </w:t>
      </w:r>
      <w:proofErr w:type="spellStart"/>
      <w:r w:rsidRPr="00F66330">
        <w:rPr>
          <w:rFonts w:cstheme="minorHAnsi"/>
        </w:rPr>
        <w:t>Trueta</w:t>
      </w:r>
      <w:proofErr w:type="spellEnd"/>
      <w:r w:rsidRPr="00F66330">
        <w:rPr>
          <w:rFonts w:cstheme="minorHAnsi"/>
        </w:rPr>
        <w:t xml:space="preserve"> ha iniciado acciones formales para transferir </w:t>
      </w:r>
      <w:proofErr w:type="spellStart"/>
      <w:r w:rsidRPr="00F66330">
        <w:rPr>
          <w:rFonts w:cstheme="minorHAnsi"/>
        </w:rPr>
        <w:t>biomarcadores</w:t>
      </w:r>
      <w:proofErr w:type="spellEnd"/>
      <w:r w:rsidRPr="00F66330">
        <w:rPr>
          <w:rFonts w:cstheme="minorHAnsi"/>
        </w:rPr>
        <w:t xml:space="preserve"> plasmáticos destinados al cribado de estenosis </w:t>
      </w:r>
      <w:proofErr w:type="spellStart"/>
      <w:r w:rsidRPr="00F66330">
        <w:rPr>
          <w:rFonts w:cstheme="minorHAnsi"/>
        </w:rPr>
        <w:t>carotídea</w:t>
      </w:r>
      <w:proofErr w:type="spellEnd"/>
      <w:r w:rsidRPr="00F66330">
        <w:rPr>
          <w:rFonts w:cstheme="minorHAnsi"/>
        </w:rPr>
        <w:t xml:space="preserve"> asintomática grave. En 2026 obtuvo financiación del programa GIR-INNOVA para valorización de resultados, protección de propiedad intelectual y validación </w:t>
      </w:r>
      <w:proofErr w:type="spellStart"/>
      <w:r w:rsidRPr="00F66330">
        <w:rPr>
          <w:rFonts w:cstheme="minorHAnsi"/>
        </w:rPr>
        <w:t>multicéntrica</w:t>
      </w:r>
      <w:proofErr w:type="spellEnd"/>
      <w:r w:rsidRPr="00F66330">
        <w:rPr>
          <w:rFonts w:cstheme="minorHAnsi"/>
        </w:rPr>
        <w:t>. El plan incluye análisis regulatorio y de mercado, lo que sitúa esta línea más allá de la fase puramente científica y dentro de un itinerario estructurado de transferencia a práctica clínica.</w:t>
      </w:r>
    </w:p>
    <w:p w14:paraId="2C6E7033" w14:textId="77777777" w:rsidR="00F66330" w:rsidRPr="008D5105" w:rsidRDefault="00F66330" w:rsidP="008D5105">
      <w:pPr>
        <w:pStyle w:val="Ttulo2"/>
        <w:spacing w:before="0" w:line="240" w:lineRule="auto"/>
        <w:jc w:val="both"/>
        <w:rPr>
          <w:rFonts w:asciiTheme="minorHAnsi" w:hAnsiTheme="minorHAnsi" w:cstheme="minorHAnsi"/>
          <w:b/>
          <w:color w:val="2F5496" w:themeColor="accent5" w:themeShade="BF"/>
          <w:sz w:val="24"/>
          <w:szCs w:val="24"/>
          <w:u w:val="single"/>
        </w:rPr>
      </w:pPr>
      <w:r w:rsidRPr="008D5105">
        <w:rPr>
          <w:rFonts w:asciiTheme="minorHAnsi" w:hAnsiTheme="minorHAnsi" w:cstheme="minorHAnsi"/>
          <w:b/>
          <w:color w:val="2F5496" w:themeColor="accent5" w:themeShade="BF"/>
          <w:sz w:val="24"/>
          <w:szCs w:val="24"/>
          <w:u w:val="single"/>
        </w:rPr>
        <w:t>2.6. Patentes, licencias y software protegido</w:t>
      </w:r>
    </w:p>
    <w:p w14:paraId="23D31232" w14:textId="77777777" w:rsidR="00F66330" w:rsidRPr="00F66330" w:rsidRDefault="00F66330" w:rsidP="008D5105">
      <w:pPr>
        <w:spacing w:after="0" w:line="240" w:lineRule="auto"/>
        <w:jc w:val="both"/>
        <w:rPr>
          <w:rFonts w:cstheme="minorHAnsi"/>
        </w:rPr>
      </w:pPr>
      <w:r w:rsidRPr="00F66330">
        <w:rPr>
          <w:rFonts w:cstheme="minorHAnsi"/>
        </w:rPr>
        <w:t>La Red acumula activos de propiedad intelectual que cubren terapias, métodos diagnósticos y herramientas digitales. Entre los ejemplos documentados se encuentra la patente europea EP3863632A1, “</w:t>
      </w:r>
      <w:proofErr w:type="spellStart"/>
      <w:r w:rsidRPr="00F66330">
        <w:rPr>
          <w:rFonts w:cstheme="minorHAnsi"/>
        </w:rPr>
        <w:t>Quinolylnitrones</w:t>
      </w:r>
      <w:proofErr w:type="spellEnd"/>
      <w:r w:rsidRPr="00F66330">
        <w:rPr>
          <w:rFonts w:cstheme="minorHAnsi"/>
        </w:rPr>
        <w:t xml:space="preserve"> </w:t>
      </w:r>
      <w:proofErr w:type="spellStart"/>
      <w:r w:rsidRPr="00F66330">
        <w:rPr>
          <w:rFonts w:cstheme="minorHAnsi"/>
        </w:rPr>
        <w:t>for</w:t>
      </w:r>
      <w:proofErr w:type="spellEnd"/>
      <w:r w:rsidRPr="00F66330">
        <w:rPr>
          <w:rFonts w:cstheme="minorHAnsi"/>
        </w:rPr>
        <w:t xml:space="preserve"> </w:t>
      </w:r>
      <w:proofErr w:type="spellStart"/>
      <w:r w:rsidRPr="00F66330">
        <w:rPr>
          <w:rFonts w:cstheme="minorHAnsi"/>
        </w:rPr>
        <w:t>the</w:t>
      </w:r>
      <w:proofErr w:type="spellEnd"/>
      <w:r w:rsidRPr="00F66330">
        <w:rPr>
          <w:rFonts w:cstheme="minorHAnsi"/>
        </w:rPr>
        <w:t xml:space="preserve"> </w:t>
      </w:r>
      <w:proofErr w:type="spellStart"/>
      <w:r w:rsidRPr="00F66330">
        <w:rPr>
          <w:rFonts w:cstheme="minorHAnsi"/>
        </w:rPr>
        <w:t>treatment</w:t>
      </w:r>
      <w:proofErr w:type="spellEnd"/>
      <w:r w:rsidRPr="00F66330">
        <w:rPr>
          <w:rFonts w:cstheme="minorHAnsi"/>
        </w:rPr>
        <w:t xml:space="preserve"> and </w:t>
      </w:r>
      <w:proofErr w:type="spellStart"/>
      <w:r w:rsidRPr="00F66330">
        <w:rPr>
          <w:rFonts w:cstheme="minorHAnsi"/>
        </w:rPr>
        <w:t>prevention</w:t>
      </w:r>
      <w:proofErr w:type="spellEnd"/>
      <w:r w:rsidRPr="00F66330">
        <w:rPr>
          <w:rFonts w:cstheme="minorHAnsi"/>
        </w:rPr>
        <w:t xml:space="preserve"> of a cerebral </w:t>
      </w:r>
      <w:proofErr w:type="spellStart"/>
      <w:r w:rsidRPr="00F66330">
        <w:rPr>
          <w:rFonts w:cstheme="minorHAnsi"/>
        </w:rPr>
        <w:t>stroke</w:t>
      </w:r>
      <w:proofErr w:type="spellEnd"/>
      <w:r w:rsidRPr="00F66330">
        <w:rPr>
          <w:rFonts w:cstheme="minorHAnsi"/>
        </w:rPr>
        <w:t xml:space="preserve"> </w:t>
      </w:r>
      <w:proofErr w:type="spellStart"/>
      <w:r w:rsidRPr="00F66330">
        <w:rPr>
          <w:rFonts w:cstheme="minorHAnsi"/>
        </w:rPr>
        <w:t>or</w:t>
      </w:r>
      <w:proofErr w:type="spellEnd"/>
      <w:r w:rsidRPr="00F66330">
        <w:rPr>
          <w:rFonts w:cstheme="minorHAnsi"/>
        </w:rPr>
        <w:t xml:space="preserve"> </w:t>
      </w:r>
      <w:proofErr w:type="spellStart"/>
      <w:r w:rsidRPr="00F66330">
        <w:rPr>
          <w:rFonts w:cstheme="minorHAnsi"/>
        </w:rPr>
        <w:t>ischaemia</w:t>
      </w:r>
      <w:proofErr w:type="spellEnd"/>
      <w:r w:rsidRPr="00F66330">
        <w:rPr>
          <w:rFonts w:cstheme="minorHAnsi"/>
        </w:rPr>
        <w:t xml:space="preserve">”, solicitada por la Fundación para la Investigación Biomédica del Hospital Universitario Ramón y Cajal, el CSIC e </w:t>
      </w:r>
      <w:proofErr w:type="spellStart"/>
      <w:r w:rsidRPr="00F66330">
        <w:rPr>
          <w:rFonts w:cstheme="minorHAnsi"/>
        </w:rPr>
        <w:t>Isquaemia</w:t>
      </w:r>
      <w:proofErr w:type="spellEnd"/>
      <w:r w:rsidRPr="00F66330">
        <w:rPr>
          <w:rFonts w:cstheme="minorHAnsi"/>
        </w:rPr>
        <w:t xml:space="preserve"> </w:t>
      </w:r>
      <w:proofErr w:type="spellStart"/>
      <w:r w:rsidRPr="00F66330">
        <w:rPr>
          <w:rFonts w:cstheme="minorHAnsi"/>
        </w:rPr>
        <w:t>Biotech</w:t>
      </w:r>
      <w:proofErr w:type="spellEnd"/>
      <w:r w:rsidRPr="00F66330">
        <w:rPr>
          <w:rFonts w:cstheme="minorHAnsi"/>
        </w:rPr>
        <w:t>, concedida en 2023 y licenciada a ISQUAEMIA BIOTECH S.L.U.</w:t>
      </w:r>
    </w:p>
    <w:p w14:paraId="736DCE72" w14:textId="77777777" w:rsidR="00F66330" w:rsidRPr="00F66330" w:rsidRDefault="00F66330" w:rsidP="008D5105">
      <w:pPr>
        <w:spacing w:after="0" w:line="240" w:lineRule="auto"/>
        <w:jc w:val="both"/>
        <w:rPr>
          <w:rFonts w:cstheme="minorHAnsi"/>
        </w:rPr>
      </w:pPr>
      <w:r w:rsidRPr="00F66330">
        <w:rPr>
          <w:rFonts w:cstheme="minorHAnsi"/>
        </w:rPr>
        <w:t xml:space="preserve">El Hospital Universitario La Paz ha protegido una cartera de herramientas digitales mediante registros de software y manuales de usuario: </w:t>
      </w:r>
      <w:proofErr w:type="spellStart"/>
      <w:r w:rsidRPr="00F66330">
        <w:rPr>
          <w:rFonts w:cstheme="minorHAnsi"/>
        </w:rPr>
        <w:t>NeuroData</w:t>
      </w:r>
      <w:proofErr w:type="spellEnd"/>
      <w:r w:rsidRPr="00F66330">
        <w:rPr>
          <w:rFonts w:cstheme="minorHAnsi"/>
        </w:rPr>
        <w:t xml:space="preserve"> </w:t>
      </w:r>
      <w:proofErr w:type="spellStart"/>
      <w:r w:rsidRPr="00F66330">
        <w:rPr>
          <w:rFonts w:cstheme="minorHAnsi"/>
        </w:rPr>
        <w:t>Tracker</w:t>
      </w:r>
      <w:proofErr w:type="spellEnd"/>
      <w:r w:rsidRPr="00F66330">
        <w:rPr>
          <w:rFonts w:cstheme="minorHAnsi"/>
        </w:rPr>
        <w:t>, LBWT-</w:t>
      </w:r>
      <w:proofErr w:type="spellStart"/>
      <w:r w:rsidRPr="00F66330">
        <w:rPr>
          <w:rFonts w:cstheme="minorHAnsi"/>
        </w:rPr>
        <w:t>Tracker</w:t>
      </w:r>
      <w:proofErr w:type="spellEnd"/>
      <w:r w:rsidRPr="00F66330">
        <w:rPr>
          <w:rFonts w:cstheme="minorHAnsi"/>
        </w:rPr>
        <w:t xml:space="preserve">, </w:t>
      </w:r>
      <w:proofErr w:type="spellStart"/>
      <w:r w:rsidRPr="00F66330">
        <w:rPr>
          <w:rFonts w:cstheme="minorHAnsi"/>
        </w:rPr>
        <w:t>Nine</w:t>
      </w:r>
      <w:proofErr w:type="spellEnd"/>
      <w:r w:rsidRPr="00F66330">
        <w:rPr>
          <w:rFonts w:cstheme="minorHAnsi"/>
        </w:rPr>
        <w:t xml:space="preserve"> </w:t>
      </w:r>
      <w:proofErr w:type="spellStart"/>
      <w:r w:rsidRPr="00F66330">
        <w:rPr>
          <w:rFonts w:cstheme="minorHAnsi"/>
        </w:rPr>
        <w:t>Hole</w:t>
      </w:r>
      <w:proofErr w:type="spellEnd"/>
      <w:r w:rsidRPr="00F66330">
        <w:rPr>
          <w:rFonts w:cstheme="minorHAnsi"/>
        </w:rPr>
        <w:t xml:space="preserve"> </w:t>
      </w:r>
      <w:proofErr w:type="spellStart"/>
      <w:r w:rsidRPr="00F66330">
        <w:rPr>
          <w:rFonts w:cstheme="minorHAnsi"/>
        </w:rPr>
        <w:t>Peg</w:t>
      </w:r>
      <w:proofErr w:type="spellEnd"/>
      <w:r w:rsidRPr="00F66330">
        <w:rPr>
          <w:rFonts w:cstheme="minorHAnsi"/>
        </w:rPr>
        <w:t xml:space="preserve"> Test </w:t>
      </w:r>
      <w:proofErr w:type="spellStart"/>
      <w:r w:rsidRPr="00F66330">
        <w:rPr>
          <w:rFonts w:cstheme="minorHAnsi"/>
        </w:rPr>
        <w:t>Automatic</w:t>
      </w:r>
      <w:proofErr w:type="spellEnd"/>
      <w:r w:rsidRPr="00F66330">
        <w:rPr>
          <w:rFonts w:cstheme="minorHAnsi"/>
        </w:rPr>
        <w:t xml:space="preserve"> </w:t>
      </w:r>
      <w:proofErr w:type="spellStart"/>
      <w:r w:rsidRPr="00F66330">
        <w:rPr>
          <w:rFonts w:cstheme="minorHAnsi"/>
        </w:rPr>
        <w:t>Tracker</w:t>
      </w:r>
      <w:proofErr w:type="spellEnd"/>
      <w:r w:rsidRPr="00F66330">
        <w:rPr>
          <w:rFonts w:cstheme="minorHAnsi"/>
        </w:rPr>
        <w:t xml:space="preserve">, DULCINEA, </w:t>
      </w:r>
      <w:proofErr w:type="spellStart"/>
      <w:r w:rsidRPr="00F66330">
        <w:rPr>
          <w:rFonts w:cstheme="minorHAnsi"/>
        </w:rPr>
        <w:t>VerbalizAPP</w:t>
      </w:r>
      <w:proofErr w:type="spellEnd"/>
      <w:r w:rsidRPr="00F66330">
        <w:rPr>
          <w:rFonts w:cstheme="minorHAnsi"/>
        </w:rPr>
        <w:t xml:space="preserve"> y </w:t>
      </w:r>
      <w:proofErr w:type="spellStart"/>
      <w:r w:rsidRPr="00F66330">
        <w:rPr>
          <w:rFonts w:cstheme="minorHAnsi"/>
        </w:rPr>
        <w:t>StrokeSim</w:t>
      </w:r>
      <w:proofErr w:type="spellEnd"/>
      <w:r w:rsidRPr="00F66330">
        <w:rPr>
          <w:rFonts w:cstheme="minorHAnsi"/>
        </w:rPr>
        <w:t>, entre otros. La protección formal de estas herramientas facilita su reutilización, validación y eventual explotación o despliegue en otros entornos.</w:t>
      </w:r>
    </w:p>
    <w:p w14:paraId="719FA02D" w14:textId="2AC14B2B" w:rsidR="007C6107" w:rsidRDefault="00F66330" w:rsidP="007C6107">
      <w:pPr>
        <w:spacing w:after="0" w:line="240" w:lineRule="auto"/>
        <w:jc w:val="both"/>
        <w:rPr>
          <w:rFonts w:cstheme="minorHAnsi"/>
        </w:rPr>
      </w:pPr>
      <w:r w:rsidRPr="00F66330">
        <w:rPr>
          <w:rFonts w:cstheme="minorHAnsi"/>
        </w:rPr>
        <w:t xml:space="preserve">En el Instituto de Investigación Sanitaria Hospital Universitario La Princesa se ha </w:t>
      </w:r>
      <w:proofErr w:type="gramStart"/>
      <w:r w:rsidRPr="00F66330">
        <w:rPr>
          <w:rFonts w:cstheme="minorHAnsi"/>
        </w:rPr>
        <w:t>protegido</w:t>
      </w:r>
      <w:proofErr w:type="gramEnd"/>
      <w:r w:rsidRPr="00F66330">
        <w:rPr>
          <w:rFonts w:cstheme="minorHAnsi"/>
        </w:rPr>
        <w:t xml:space="preserve"> además, mediante la patente P202531231 de diciembre de 2025, un método para detectar y cuantificar motas extracelulares de ASC en muestras biológicas mediante </w:t>
      </w:r>
      <w:proofErr w:type="spellStart"/>
      <w:r w:rsidRPr="00F66330">
        <w:rPr>
          <w:rFonts w:cstheme="minorHAnsi"/>
        </w:rPr>
        <w:t>citometría</w:t>
      </w:r>
      <w:proofErr w:type="spellEnd"/>
      <w:r w:rsidRPr="00F66330">
        <w:rPr>
          <w:rFonts w:cstheme="minorHAnsi"/>
        </w:rPr>
        <w:t xml:space="preserve"> espectral, una tecnología vinculada al estudio de la activación del </w:t>
      </w:r>
      <w:proofErr w:type="spellStart"/>
      <w:r w:rsidRPr="00F66330">
        <w:rPr>
          <w:rFonts w:cstheme="minorHAnsi"/>
        </w:rPr>
        <w:t>inflamasoma</w:t>
      </w:r>
      <w:proofErr w:type="spellEnd"/>
      <w:r w:rsidRPr="00F66330">
        <w:rPr>
          <w:rFonts w:cstheme="minorHAnsi"/>
        </w:rPr>
        <w:t xml:space="preserve"> NLRP3.</w:t>
      </w:r>
    </w:p>
    <w:p w14:paraId="546D69B7" w14:textId="77777777" w:rsidR="007C6107" w:rsidRPr="007C6107" w:rsidRDefault="007C6107" w:rsidP="007C6107">
      <w:pPr>
        <w:spacing w:after="0" w:line="240" w:lineRule="auto"/>
        <w:jc w:val="both"/>
        <w:rPr>
          <w:rFonts w:cstheme="minorHAnsi"/>
        </w:rPr>
      </w:pPr>
    </w:p>
    <w:p w14:paraId="45A04D57" w14:textId="77777777" w:rsidR="007C6107" w:rsidRPr="007C6107" w:rsidRDefault="007C6107" w:rsidP="007C6107">
      <w:pPr>
        <w:pStyle w:val="Ttulo1"/>
        <w:spacing w:before="0" w:line="240" w:lineRule="auto"/>
        <w:jc w:val="both"/>
        <w:rPr>
          <w:rFonts w:asciiTheme="minorHAnsi" w:hAnsiTheme="minorHAnsi" w:cstheme="minorHAnsi"/>
          <w:b/>
          <w:color w:val="000000" w:themeColor="text1"/>
          <w:sz w:val="28"/>
          <w:szCs w:val="28"/>
        </w:rPr>
      </w:pPr>
      <w:r w:rsidRPr="007C6107">
        <w:rPr>
          <w:rFonts w:asciiTheme="minorHAnsi" w:hAnsiTheme="minorHAnsi" w:cstheme="minorHAnsi"/>
          <w:b/>
          <w:color w:val="000000" w:themeColor="text1"/>
          <w:sz w:val="28"/>
          <w:szCs w:val="28"/>
        </w:rPr>
        <w:t>3. Transferencia de conocimiento a profesionales y pacientes</w:t>
      </w:r>
    </w:p>
    <w:p w14:paraId="2E34E30D" w14:textId="047D7B0F" w:rsidR="007C6107" w:rsidRPr="007C6107" w:rsidRDefault="007C6107" w:rsidP="007C6107">
      <w:pPr>
        <w:spacing w:after="0" w:line="240" w:lineRule="auto"/>
        <w:jc w:val="both"/>
        <w:rPr>
          <w:rFonts w:cstheme="minorHAnsi"/>
        </w:rPr>
      </w:pPr>
      <w:r w:rsidRPr="007C6107">
        <w:rPr>
          <w:rFonts w:cstheme="minorHAnsi"/>
        </w:rPr>
        <w:t>La transferencia también ocurre cuando un conocimiento deja de estar restringido al entorno investigador y pasa a utilizarse por profesionales, pacientes o cuidadores. RICORS-ICTUS ha generado programas de formación, cursos, guías, materiales y modelos de acompañamiento que complementan la transferencia asistencial y tecnológica.</w:t>
      </w:r>
    </w:p>
    <w:p w14:paraId="3DF73A45" w14:textId="77777777" w:rsidR="007C6107" w:rsidRPr="007C6107" w:rsidRDefault="007C6107" w:rsidP="007C6107">
      <w:pPr>
        <w:pStyle w:val="Ttulo2"/>
        <w:spacing w:before="0" w:line="240" w:lineRule="auto"/>
        <w:jc w:val="both"/>
        <w:rPr>
          <w:rFonts w:asciiTheme="minorHAnsi" w:hAnsiTheme="minorHAnsi" w:cstheme="minorHAnsi"/>
          <w:b/>
          <w:color w:val="2F5496" w:themeColor="accent5" w:themeShade="BF"/>
          <w:sz w:val="24"/>
          <w:szCs w:val="24"/>
          <w:u w:val="single"/>
        </w:rPr>
      </w:pPr>
      <w:r w:rsidRPr="007C6107">
        <w:rPr>
          <w:rFonts w:asciiTheme="minorHAnsi" w:hAnsiTheme="minorHAnsi" w:cstheme="minorHAnsi"/>
          <w:b/>
          <w:color w:val="2F5496" w:themeColor="accent5" w:themeShade="BF"/>
          <w:sz w:val="24"/>
          <w:szCs w:val="24"/>
          <w:u w:val="single"/>
        </w:rPr>
        <w:t>3.1. Formación que modifica práctica profesional</w:t>
      </w:r>
    </w:p>
    <w:p w14:paraId="50834D05" w14:textId="77777777" w:rsidR="007C6107" w:rsidRPr="007C6107" w:rsidRDefault="007C6107" w:rsidP="007C6107">
      <w:pPr>
        <w:spacing w:after="0" w:line="240" w:lineRule="auto"/>
        <w:jc w:val="both"/>
        <w:rPr>
          <w:rFonts w:cstheme="minorHAnsi"/>
        </w:rPr>
      </w:pPr>
      <w:r w:rsidRPr="007C6107">
        <w:rPr>
          <w:rFonts w:cstheme="minorHAnsi"/>
        </w:rPr>
        <w:t xml:space="preserve">BIOSHIP-training muestra la capacidad de la Red para unir investigación y formación a gran escala: cientos de profesionales de emergencias fueron formados en NIHSS y Buenas Prácticas Clínicas y la escala NIHSS pasó a incorporarse como parte habitual de la atención </w:t>
      </w:r>
      <w:proofErr w:type="spellStart"/>
      <w:r w:rsidRPr="007C6107">
        <w:rPr>
          <w:rFonts w:cstheme="minorHAnsi"/>
        </w:rPr>
        <w:t>extrahospitalaria</w:t>
      </w:r>
      <w:proofErr w:type="spellEnd"/>
      <w:r w:rsidRPr="007C6107">
        <w:rPr>
          <w:rFonts w:cstheme="minorHAnsi"/>
        </w:rPr>
        <w:t xml:space="preserve"> en los entornos participantes. La formación online en la escala RACE ha extendido también una herramienta de </w:t>
      </w:r>
      <w:proofErr w:type="spellStart"/>
      <w:r w:rsidRPr="007C6107">
        <w:rPr>
          <w:rFonts w:cstheme="minorHAnsi"/>
        </w:rPr>
        <w:t>triaje</w:t>
      </w:r>
      <w:proofErr w:type="spellEnd"/>
      <w:r w:rsidRPr="007C6107">
        <w:rPr>
          <w:rFonts w:cstheme="minorHAnsi"/>
        </w:rPr>
        <w:t xml:space="preserve"> </w:t>
      </w:r>
      <w:proofErr w:type="spellStart"/>
      <w:r w:rsidRPr="007C6107">
        <w:rPr>
          <w:rFonts w:cstheme="minorHAnsi"/>
        </w:rPr>
        <w:t>prehospitalario</w:t>
      </w:r>
      <w:proofErr w:type="spellEnd"/>
      <w:r w:rsidRPr="007C6107">
        <w:rPr>
          <w:rFonts w:cstheme="minorHAnsi"/>
        </w:rPr>
        <w:t xml:space="preserve"> a profesionales de urgencias y sistemas de emergencias.</w:t>
      </w:r>
    </w:p>
    <w:p w14:paraId="582E9E7E" w14:textId="77777777" w:rsidR="007C6107" w:rsidRPr="007C6107" w:rsidRDefault="007C6107" w:rsidP="007C6107">
      <w:pPr>
        <w:spacing w:after="0" w:line="240" w:lineRule="auto"/>
        <w:jc w:val="both"/>
        <w:rPr>
          <w:rFonts w:cstheme="minorHAnsi"/>
        </w:rPr>
      </w:pPr>
      <w:r w:rsidRPr="007C6107">
        <w:rPr>
          <w:rFonts w:cstheme="minorHAnsi"/>
        </w:rPr>
        <w:t xml:space="preserve">El Hospital Universitario La Paz y el Instituto de Investigación Sanitaria del Hospital Universitario La Paz han mantenido cursos orientados a trasladar cambios de paradigma en enfermedad cerebrovascular, prevención secundaria, secuelas </w:t>
      </w:r>
      <w:proofErr w:type="spellStart"/>
      <w:r w:rsidRPr="007C6107">
        <w:rPr>
          <w:rFonts w:cstheme="minorHAnsi"/>
        </w:rPr>
        <w:t>postictus</w:t>
      </w:r>
      <w:proofErr w:type="spellEnd"/>
      <w:r w:rsidRPr="007C6107">
        <w:rPr>
          <w:rFonts w:cstheme="minorHAnsi"/>
        </w:rPr>
        <w:t xml:space="preserve">, </w:t>
      </w:r>
      <w:proofErr w:type="spellStart"/>
      <w:r w:rsidRPr="007C6107">
        <w:rPr>
          <w:rFonts w:cstheme="minorHAnsi"/>
        </w:rPr>
        <w:t>neurosonología</w:t>
      </w:r>
      <w:proofErr w:type="spellEnd"/>
      <w:r w:rsidRPr="007C6107">
        <w:rPr>
          <w:rFonts w:cstheme="minorHAnsi"/>
        </w:rPr>
        <w:t xml:space="preserve"> y herramientas preclínicas. Estas actividades no se presentan aquí como producción docente, sino por su función de actualización de protocolos, criterios de selección terapéutica y capacidades técnicas de profesionales que atienden o investigan el ictus.</w:t>
      </w:r>
    </w:p>
    <w:p w14:paraId="0F833446" w14:textId="77777777" w:rsidR="007C6107" w:rsidRPr="007C6107" w:rsidRDefault="007C6107" w:rsidP="007C6107">
      <w:pPr>
        <w:pStyle w:val="Ttulo2"/>
        <w:spacing w:before="0" w:line="240" w:lineRule="auto"/>
        <w:jc w:val="both"/>
        <w:rPr>
          <w:rFonts w:asciiTheme="minorHAnsi" w:hAnsiTheme="minorHAnsi" w:cstheme="minorHAnsi"/>
          <w:b/>
          <w:color w:val="2F5496" w:themeColor="accent5" w:themeShade="BF"/>
          <w:sz w:val="24"/>
          <w:szCs w:val="24"/>
          <w:u w:val="single"/>
        </w:rPr>
      </w:pPr>
      <w:r w:rsidRPr="007C6107">
        <w:rPr>
          <w:rFonts w:asciiTheme="minorHAnsi" w:hAnsiTheme="minorHAnsi" w:cstheme="minorHAnsi"/>
          <w:b/>
          <w:color w:val="2F5496" w:themeColor="accent5" w:themeShade="BF"/>
          <w:sz w:val="24"/>
          <w:szCs w:val="24"/>
          <w:u w:val="single"/>
        </w:rPr>
        <w:t>3.2. Guías y documentos de consenso</w:t>
      </w:r>
    </w:p>
    <w:p w14:paraId="37791581" w14:textId="77777777" w:rsidR="007C6107" w:rsidRPr="007C6107" w:rsidRDefault="007C6107" w:rsidP="007C6107">
      <w:pPr>
        <w:spacing w:after="0" w:line="240" w:lineRule="auto"/>
        <w:jc w:val="both"/>
        <w:rPr>
          <w:rFonts w:cstheme="minorHAnsi"/>
        </w:rPr>
      </w:pPr>
      <w:r w:rsidRPr="007C6107">
        <w:rPr>
          <w:rFonts w:cstheme="minorHAnsi"/>
        </w:rPr>
        <w:t xml:space="preserve">Investigadores de RICORS-ICTUS han participado en documentos que convierten evidencia en recomendaciones aplicables. Entre ellos se encuentran la actualización de la Estrategia de Ictus del Sistema Nacional de Salud, la Guía de Práctica Clínica sobre el Manejo del Ictus en Atención Primaria, las guías de la </w:t>
      </w:r>
      <w:proofErr w:type="spellStart"/>
      <w:r w:rsidRPr="007C6107">
        <w:rPr>
          <w:rFonts w:cstheme="minorHAnsi"/>
        </w:rPr>
        <w:t>European</w:t>
      </w:r>
      <w:proofErr w:type="spellEnd"/>
      <w:r w:rsidRPr="007C6107">
        <w:rPr>
          <w:rFonts w:cstheme="minorHAnsi"/>
        </w:rPr>
        <w:t xml:space="preserve"> </w:t>
      </w:r>
      <w:proofErr w:type="spellStart"/>
      <w:r w:rsidRPr="007C6107">
        <w:rPr>
          <w:rFonts w:cstheme="minorHAnsi"/>
        </w:rPr>
        <w:t>Stroke</w:t>
      </w:r>
      <w:proofErr w:type="spellEnd"/>
      <w:r w:rsidRPr="007C6107">
        <w:rPr>
          <w:rFonts w:cstheme="minorHAnsi"/>
        </w:rPr>
        <w:t xml:space="preserve"> </w:t>
      </w:r>
      <w:proofErr w:type="spellStart"/>
      <w:r w:rsidRPr="007C6107">
        <w:rPr>
          <w:rFonts w:cstheme="minorHAnsi"/>
        </w:rPr>
        <w:t>Organisation</w:t>
      </w:r>
      <w:proofErr w:type="spellEnd"/>
      <w:r w:rsidRPr="007C6107">
        <w:rPr>
          <w:rFonts w:cstheme="minorHAnsi"/>
        </w:rPr>
        <w:t xml:space="preserve"> sobre </w:t>
      </w:r>
      <w:proofErr w:type="spellStart"/>
      <w:r w:rsidRPr="007C6107">
        <w:rPr>
          <w:rFonts w:cstheme="minorHAnsi"/>
        </w:rPr>
        <w:t>angiopatía</w:t>
      </w:r>
      <w:proofErr w:type="spellEnd"/>
      <w:r w:rsidRPr="007C6107">
        <w:rPr>
          <w:rFonts w:cstheme="minorHAnsi"/>
        </w:rPr>
        <w:t xml:space="preserve"> de </w:t>
      </w:r>
      <w:proofErr w:type="spellStart"/>
      <w:r w:rsidRPr="007C6107">
        <w:rPr>
          <w:rFonts w:cstheme="minorHAnsi"/>
        </w:rPr>
        <w:t>Moyamoya</w:t>
      </w:r>
      <w:proofErr w:type="spellEnd"/>
      <w:r w:rsidRPr="007C6107">
        <w:rPr>
          <w:rFonts w:cstheme="minorHAnsi"/>
        </w:rPr>
        <w:t xml:space="preserve"> y déficit visual tras ictus, y recomendaciones del Grupo de Estudio de Enfermedades Cerebrovasculares de la Sociedad Española de Neurología sobre cuidados paliativos, infarto maligno, prevención vascular y tratamiento </w:t>
      </w:r>
      <w:proofErr w:type="spellStart"/>
      <w:r w:rsidRPr="007C6107">
        <w:rPr>
          <w:rFonts w:cstheme="minorHAnsi"/>
        </w:rPr>
        <w:t>antitrombótico</w:t>
      </w:r>
      <w:proofErr w:type="spellEnd"/>
      <w:r w:rsidRPr="007C6107">
        <w:rPr>
          <w:rFonts w:cstheme="minorHAnsi"/>
        </w:rPr>
        <w:t>. Su relevancia como transferencia reside en que ordenan decisiones clínicas y homogeneizan la atención más allá de los centros donde se generó la evidencia.</w:t>
      </w:r>
    </w:p>
    <w:p w14:paraId="3B3AD8EB" w14:textId="77777777" w:rsidR="007C6107" w:rsidRPr="007C6107" w:rsidRDefault="007C6107" w:rsidP="007C6107">
      <w:pPr>
        <w:pStyle w:val="Ttulo2"/>
        <w:spacing w:before="0" w:line="240" w:lineRule="auto"/>
        <w:jc w:val="both"/>
        <w:rPr>
          <w:rFonts w:asciiTheme="minorHAnsi" w:hAnsiTheme="minorHAnsi" w:cstheme="minorHAnsi"/>
          <w:b/>
          <w:color w:val="2F5496" w:themeColor="accent5" w:themeShade="BF"/>
          <w:sz w:val="24"/>
          <w:szCs w:val="24"/>
          <w:u w:val="single"/>
        </w:rPr>
      </w:pPr>
      <w:r w:rsidRPr="007C6107">
        <w:rPr>
          <w:rFonts w:asciiTheme="minorHAnsi" w:hAnsiTheme="minorHAnsi" w:cstheme="minorHAnsi"/>
          <w:b/>
          <w:color w:val="2F5496" w:themeColor="accent5" w:themeShade="BF"/>
          <w:sz w:val="24"/>
          <w:szCs w:val="24"/>
          <w:u w:val="single"/>
        </w:rPr>
        <w:t>3.3. Pacientes, autocuidado y continuidad</w:t>
      </w:r>
    </w:p>
    <w:p w14:paraId="0106C665" w14:textId="77777777" w:rsidR="007C6107" w:rsidRPr="007C6107" w:rsidRDefault="007C6107" w:rsidP="007C6107">
      <w:pPr>
        <w:spacing w:after="0" w:line="240" w:lineRule="auto"/>
        <w:jc w:val="both"/>
        <w:rPr>
          <w:rFonts w:eastAsia="Times New Roman" w:cstheme="minorHAnsi"/>
          <w:lang w:eastAsia="es-ES"/>
        </w:rPr>
      </w:pPr>
      <w:r w:rsidRPr="007C6107">
        <w:rPr>
          <w:rFonts w:eastAsia="Times New Roman" w:cstheme="minorHAnsi"/>
          <w:lang w:eastAsia="es-ES"/>
        </w:rPr>
        <w:t xml:space="preserve">CAMÍ, </w:t>
      </w:r>
      <w:proofErr w:type="spellStart"/>
      <w:r w:rsidRPr="007C6107">
        <w:rPr>
          <w:rFonts w:eastAsia="Times New Roman" w:cstheme="minorHAnsi"/>
          <w:lang w:eastAsia="es-ES"/>
        </w:rPr>
        <w:t>eSalut</w:t>
      </w:r>
      <w:proofErr w:type="spellEnd"/>
      <w:r w:rsidRPr="007C6107">
        <w:rPr>
          <w:rFonts w:eastAsia="Times New Roman" w:cstheme="minorHAnsi"/>
          <w:lang w:eastAsia="es-ES"/>
        </w:rPr>
        <w:t xml:space="preserve">-ICTUS y el Programa </w:t>
      </w:r>
      <w:proofErr w:type="spellStart"/>
      <w:r w:rsidRPr="007C6107">
        <w:rPr>
          <w:rFonts w:eastAsia="Times New Roman" w:cstheme="minorHAnsi"/>
          <w:lang w:eastAsia="es-ES"/>
        </w:rPr>
        <w:t>Pacient</w:t>
      </w:r>
      <w:proofErr w:type="spellEnd"/>
      <w:r w:rsidRPr="007C6107">
        <w:rPr>
          <w:rFonts w:eastAsia="Times New Roman" w:cstheme="minorHAnsi"/>
          <w:lang w:eastAsia="es-ES"/>
        </w:rPr>
        <w:t xml:space="preserve"> </w:t>
      </w:r>
      <w:proofErr w:type="spellStart"/>
      <w:r w:rsidRPr="007C6107">
        <w:rPr>
          <w:rFonts w:eastAsia="Times New Roman" w:cstheme="minorHAnsi"/>
          <w:lang w:eastAsia="es-ES"/>
        </w:rPr>
        <w:t>Expert</w:t>
      </w:r>
      <w:proofErr w:type="spellEnd"/>
      <w:r w:rsidRPr="007C6107">
        <w:rPr>
          <w:rFonts w:eastAsia="Times New Roman" w:cstheme="minorHAnsi"/>
          <w:lang w:eastAsia="es-ES"/>
        </w:rPr>
        <w:t xml:space="preserve"> Ictus muestran una transferencia centrada en la persona. CAMÍ conecta el alta hospitalaria con Atención Primaria y gestores de casos; </w:t>
      </w:r>
      <w:proofErr w:type="spellStart"/>
      <w:r w:rsidRPr="007C6107">
        <w:rPr>
          <w:rFonts w:eastAsia="Times New Roman" w:cstheme="minorHAnsi"/>
          <w:lang w:eastAsia="es-ES"/>
        </w:rPr>
        <w:t>eSalut</w:t>
      </w:r>
      <w:proofErr w:type="spellEnd"/>
      <w:r w:rsidRPr="007C6107">
        <w:rPr>
          <w:rFonts w:eastAsia="Times New Roman" w:cstheme="minorHAnsi"/>
          <w:lang w:eastAsia="es-ES"/>
        </w:rPr>
        <w:t xml:space="preserve">-ICTUS proporciona apoyo digital; y </w:t>
      </w:r>
      <w:proofErr w:type="spellStart"/>
      <w:r w:rsidRPr="007C6107">
        <w:rPr>
          <w:rFonts w:eastAsia="Times New Roman" w:cstheme="minorHAnsi"/>
          <w:lang w:eastAsia="es-ES"/>
        </w:rPr>
        <w:t>Pacient</w:t>
      </w:r>
      <w:proofErr w:type="spellEnd"/>
      <w:r w:rsidRPr="007C6107">
        <w:rPr>
          <w:rFonts w:eastAsia="Times New Roman" w:cstheme="minorHAnsi"/>
          <w:lang w:eastAsia="es-ES"/>
        </w:rPr>
        <w:t xml:space="preserve"> </w:t>
      </w:r>
      <w:proofErr w:type="spellStart"/>
      <w:r w:rsidRPr="007C6107">
        <w:rPr>
          <w:rFonts w:eastAsia="Times New Roman" w:cstheme="minorHAnsi"/>
          <w:lang w:eastAsia="es-ES"/>
        </w:rPr>
        <w:t>Expert</w:t>
      </w:r>
      <w:proofErr w:type="spellEnd"/>
      <w:r w:rsidRPr="007C6107">
        <w:rPr>
          <w:rFonts w:eastAsia="Times New Roman" w:cstheme="minorHAnsi"/>
          <w:lang w:eastAsia="es-ES"/>
        </w:rPr>
        <w:t xml:space="preserve"> Ictus utiliza pacientes formados para compartir conocimientos y experiencias con otros pacientes. Estas iniciativas trasladan conocimiento a autocuidado, adherencia, detección temprana de problemas y uso adecuado de recursos asistenciales.</w:t>
      </w:r>
    </w:p>
    <w:p w14:paraId="7BF5C117" w14:textId="77777777" w:rsidR="007C6107" w:rsidRPr="007C6107" w:rsidRDefault="007C6107" w:rsidP="007C6107">
      <w:pPr>
        <w:spacing w:after="0" w:line="240" w:lineRule="auto"/>
        <w:jc w:val="both"/>
        <w:rPr>
          <w:rFonts w:eastAsia="Times New Roman" w:cstheme="minorHAnsi"/>
          <w:lang w:eastAsia="es-ES"/>
        </w:rPr>
      </w:pPr>
      <w:r w:rsidRPr="007C6107">
        <w:rPr>
          <w:rFonts w:eastAsia="Times New Roman" w:cstheme="minorHAnsi"/>
          <w:lang w:eastAsia="es-ES"/>
        </w:rPr>
        <w:t xml:space="preserve">Este compromiso con la participación de los pacientes se ha ampliado también a la propia investigación. Con el objetivo de acercar la investigación en ictus a la sociedad y fomentar una investigación más transparente y participativa, RICORS-ICTUS participó en la organización del </w:t>
      </w:r>
      <w:proofErr w:type="spellStart"/>
      <w:r w:rsidRPr="007C6107">
        <w:rPr>
          <w:rFonts w:eastAsia="Times New Roman" w:cstheme="minorHAnsi"/>
          <w:bCs/>
          <w:lang w:eastAsia="es-ES"/>
        </w:rPr>
        <w:t>Patient</w:t>
      </w:r>
      <w:proofErr w:type="spellEnd"/>
      <w:r w:rsidRPr="007C6107">
        <w:rPr>
          <w:rFonts w:eastAsia="Times New Roman" w:cstheme="minorHAnsi"/>
          <w:bCs/>
          <w:lang w:eastAsia="es-ES"/>
        </w:rPr>
        <w:t xml:space="preserve"> Discovery Day: Investigación en Ictus</w:t>
      </w:r>
      <w:r w:rsidRPr="007C6107">
        <w:rPr>
          <w:rFonts w:eastAsia="Times New Roman" w:cstheme="minorHAnsi"/>
          <w:lang w:eastAsia="es-ES"/>
        </w:rPr>
        <w:t xml:space="preserve">, celebrado el 25 de mayo de 2026 en la Facultad de Medicina de la UCM, en colaboración con la </w:t>
      </w:r>
      <w:proofErr w:type="spellStart"/>
      <w:r w:rsidRPr="007C6107">
        <w:rPr>
          <w:rFonts w:eastAsia="Times New Roman" w:cstheme="minorHAnsi"/>
          <w:lang w:eastAsia="es-ES"/>
        </w:rPr>
        <w:t>European</w:t>
      </w:r>
      <w:proofErr w:type="spellEnd"/>
      <w:r w:rsidRPr="007C6107">
        <w:rPr>
          <w:rFonts w:eastAsia="Times New Roman" w:cstheme="minorHAnsi"/>
          <w:lang w:eastAsia="es-ES"/>
        </w:rPr>
        <w:t xml:space="preserve"> Animal </w:t>
      </w:r>
      <w:proofErr w:type="spellStart"/>
      <w:r w:rsidRPr="007C6107">
        <w:rPr>
          <w:rFonts w:eastAsia="Times New Roman" w:cstheme="minorHAnsi"/>
          <w:lang w:eastAsia="es-ES"/>
        </w:rPr>
        <w:t>Research</w:t>
      </w:r>
      <w:proofErr w:type="spellEnd"/>
      <w:r w:rsidRPr="007C6107">
        <w:rPr>
          <w:rFonts w:eastAsia="Times New Roman" w:cstheme="minorHAnsi"/>
          <w:lang w:eastAsia="es-ES"/>
        </w:rPr>
        <w:t xml:space="preserve"> </w:t>
      </w:r>
      <w:proofErr w:type="spellStart"/>
      <w:r w:rsidRPr="007C6107">
        <w:rPr>
          <w:rFonts w:eastAsia="Times New Roman" w:cstheme="minorHAnsi"/>
          <w:lang w:eastAsia="es-ES"/>
        </w:rPr>
        <w:t>Association</w:t>
      </w:r>
      <w:proofErr w:type="spellEnd"/>
      <w:r w:rsidRPr="007C6107">
        <w:rPr>
          <w:rFonts w:eastAsia="Times New Roman" w:cstheme="minorHAnsi"/>
          <w:lang w:eastAsia="es-ES"/>
        </w:rPr>
        <w:t xml:space="preserve"> (EARA), el Instituto de Investigación Sanitaria Hospital 12 de </w:t>
      </w:r>
      <w:proofErr w:type="gramStart"/>
      <w:r w:rsidRPr="007C6107">
        <w:rPr>
          <w:rFonts w:eastAsia="Times New Roman" w:cstheme="minorHAnsi"/>
          <w:lang w:eastAsia="es-ES"/>
        </w:rPr>
        <w:t>Octubre</w:t>
      </w:r>
      <w:proofErr w:type="gramEnd"/>
      <w:r w:rsidRPr="007C6107">
        <w:rPr>
          <w:rFonts w:eastAsia="Times New Roman" w:cstheme="minorHAnsi"/>
          <w:lang w:eastAsia="es-ES"/>
        </w:rPr>
        <w:t xml:space="preserve"> (imas12) y la Fundación Freno al Ictus. La jornada reunió a </w:t>
      </w:r>
      <w:r w:rsidRPr="007C6107">
        <w:rPr>
          <w:rFonts w:eastAsia="Times New Roman" w:cstheme="minorHAnsi"/>
          <w:bCs/>
          <w:lang w:eastAsia="es-ES"/>
        </w:rPr>
        <w:t>supervivientes de ictus, familiares, asociaciones de pacientes e investigadores de la Red</w:t>
      </w:r>
      <w:r w:rsidRPr="007C6107">
        <w:rPr>
          <w:rFonts w:eastAsia="Times New Roman" w:cstheme="minorHAnsi"/>
          <w:lang w:eastAsia="es-ES"/>
        </w:rPr>
        <w:t xml:space="preserve"> en un espacio de intercambio que combinó presentaciones científicas, visitas a las instalaciones de investigación y sesiones de diálogo sobre las prioridades y retos de la investigación en ictus. La participación de </w:t>
      </w:r>
      <w:proofErr w:type="spellStart"/>
      <w:r w:rsidRPr="007C6107">
        <w:rPr>
          <w:rFonts w:eastAsia="Times New Roman" w:cstheme="minorHAnsi"/>
          <w:lang w:eastAsia="es-ES"/>
        </w:rPr>
        <w:t>Inês</w:t>
      </w:r>
      <w:proofErr w:type="spellEnd"/>
      <w:r w:rsidRPr="007C6107">
        <w:rPr>
          <w:rFonts w:eastAsia="Times New Roman" w:cstheme="minorHAnsi"/>
          <w:lang w:eastAsia="es-ES"/>
        </w:rPr>
        <w:t xml:space="preserve"> </w:t>
      </w:r>
      <w:proofErr w:type="spellStart"/>
      <w:r w:rsidRPr="007C6107">
        <w:rPr>
          <w:rFonts w:eastAsia="Times New Roman" w:cstheme="minorHAnsi"/>
          <w:lang w:eastAsia="es-ES"/>
        </w:rPr>
        <w:t>Serrenho</w:t>
      </w:r>
      <w:proofErr w:type="spellEnd"/>
      <w:r w:rsidRPr="007C6107">
        <w:rPr>
          <w:rFonts w:eastAsia="Times New Roman" w:cstheme="minorHAnsi"/>
          <w:lang w:eastAsia="es-ES"/>
        </w:rPr>
        <w:t xml:space="preserve">, responsable del programa internacional EARA </w:t>
      </w:r>
      <w:proofErr w:type="spellStart"/>
      <w:r w:rsidRPr="007C6107">
        <w:rPr>
          <w:rFonts w:eastAsia="Times New Roman" w:cstheme="minorHAnsi"/>
          <w:lang w:eastAsia="es-ES"/>
        </w:rPr>
        <w:t>Patient</w:t>
      </w:r>
      <w:proofErr w:type="spellEnd"/>
      <w:r w:rsidRPr="007C6107">
        <w:rPr>
          <w:rFonts w:eastAsia="Times New Roman" w:cstheme="minorHAnsi"/>
          <w:lang w:eastAsia="es-ES"/>
        </w:rPr>
        <w:t xml:space="preserve"> Discovery Day, reforzó la colaboración entre RICORS-ICTUS y EARA, que tuvo continuidad con su participación como ponente invitada en el V Congreso Anual de RICORS-ICTUS.</w:t>
      </w:r>
    </w:p>
    <w:p w14:paraId="1DFD9C99" w14:textId="77777777" w:rsidR="007C6107" w:rsidRPr="007C6107" w:rsidRDefault="007C6107" w:rsidP="007C6107">
      <w:pPr>
        <w:spacing w:after="0" w:line="240" w:lineRule="auto"/>
        <w:jc w:val="both"/>
        <w:rPr>
          <w:rFonts w:eastAsia="Times New Roman" w:cstheme="minorHAnsi"/>
          <w:lang w:eastAsia="es-ES"/>
        </w:rPr>
      </w:pPr>
      <w:r w:rsidRPr="007C6107">
        <w:rPr>
          <w:rFonts w:eastAsia="Times New Roman" w:cstheme="minorHAnsi"/>
          <w:lang w:eastAsia="es-ES"/>
        </w:rPr>
        <w:t xml:space="preserve">La relación con los pacientes se ha reforzado además con el inicio de una colaboración con </w:t>
      </w:r>
      <w:r w:rsidRPr="007C6107">
        <w:rPr>
          <w:rFonts w:eastAsia="Times New Roman" w:cstheme="minorHAnsi"/>
          <w:bCs/>
          <w:lang w:eastAsia="es-ES"/>
        </w:rPr>
        <w:t>Daño Cerebral Estatal</w:t>
      </w:r>
      <w:r w:rsidRPr="007C6107">
        <w:rPr>
          <w:rFonts w:eastAsia="Times New Roman" w:cstheme="minorHAnsi"/>
          <w:lang w:eastAsia="es-ES"/>
        </w:rPr>
        <w:t xml:space="preserve">, asociación de pacientes y personas afectadas por daño cerebral adquirido. Su presidenta, </w:t>
      </w:r>
      <w:r w:rsidRPr="007C6107">
        <w:rPr>
          <w:rFonts w:eastAsia="Times New Roman" w:cstheme="minorHAnsi"/>
          <w:bCs/>
          <w:lang w:eastAsia="es-ES"/>
        </w:rPr>
        <w:t>Ana Cabellos</w:t>
      </w:r>
      <w:r w:rsidRPr="007C6107">
        <w:rPr>
          <w:rFonts w:eastAsia="Times New Roman" w:cstheme="minorHAnsi"/>
          <w:lang w:eastAsia="es-ES"/>
        </w:rPr>
        <w:t>, participó como ponente invitada en el V Congreso Anual de RICORS-ICTUS, consolidando una nueva vía de colaboración y participación de los pacientes en las actividades de la Red.</w:t>
      </w:r>
    </w:p>
    <w:p w14:paraId="256D67BC" w14:textId="048A2C61" w:rsidR="007C6107" w:rsidRDefault="007C6107" w:rsidP="007C6107">
      <w:pPr>
        <w:spacing w:after="0" w:line="240" w:lineRule="auto"/>
        <w:jc w:val="both"/>
        <w:rPr>
          <w:rFonts w:eastAsia="Times New Roman" w:cstheme="minorHAnsi"/>
          <w:lang w:eastAsia="es-ES"/>
        </w:rPr>
      </w:pPr>
      <w:r w:rsidRPr="007C6107">
        <w:rPr>
          <w:rFonts w:eastAsia="Times New Roman" w:cstheme="minorHAnsi"/>
          <w:lang w:eastAsia="es-ES"/>
        </w:rPr>
        <w:t>Estas iniciativas, junto con encuentros con pacientes, familiares y asociaciones, materiales educativos y jornadas del Día del Ictus, amplían la transferencia social de RICORS-ICTUS y favorecen una relación más directa entre investigación, pacientes y sociedad.</w:t>
      </w:r>
    </w:p>
    <w:p w14:paraId="43D5446C" w14:textId="77777777" w:rsidR="007C6107" w:rsidRPr="007C6107" w:rsidRDefault="007C6107" w:rsidP="007C6107">
      <w:pPr>
        <w:spacing w:after="0" w:line="240" w:lineRule="auto"/>
        <w:jc w:val="both"/>
        <w:rPr>
          <w:rFonts w:eastAsia="Times New Roman" w:cstheme="minorHAnsi"/>
          <w:lang w:eastAsia="es-ES"/>
        </w:rPr>
      </w:pPr>
    </w:p>
    <w:p w14:paraId="1B7C6D34" w14:textId="77777777" w:rsidR="007C6107" w:rsidRPr="007C6107" w:rsidRDefault="007C6107" w:rsidP="007C6107">
      <w:pPr>
        <w:pStyle w:val="Ttulo1"/>
        <w:spacing w:before="0" w:line="240" w:lineRule="auto"/>
        <w:jc w:val="both"/>
        <w:rPr>
          <w:rFonts w:asciiTheme="minorHAnsi" w:hAnsiTheme="minorHAnsi" w:cstheme="minorHAnsi"/>
          <w:b/>
          <w:color w:val="auto"/>
          <w:sz w:val="28"/>
          <w:szCs w:val="28"/>
        </w:rPr>
      </w:pPr>
      <w:r w:rsidRPr="007C6107">
        <w:rPr>
          <w:rFonts w:asciiTheme="minorHAnsi" w:hAnsiTheme="minorHAnsi" w:cstheme="minorHAnsi"/>
          <w:b/>
          <w:color w:val="auto"/>
          <w:sz w:val="28"/>
          <w:szCs w:val="28"/>
        </w:rPr>
        <w:t>4. Recursos transferidos y compartidos para acelerar nueva investigación</w:t>
      </w:r>
    </w:p>
    <w:p w14:paraId="0F762CB9" w14:textId="33BB5FAE" w:rsidR="007C6107" w:rsidRPr="007C6107" w:rsidRDefault="007C6107" w:rsidP="007C6107">
      <w:pPr>
        <w:spacing w:after="0" w:line="240" w:lineRule="auto"/>
        <w:jc w:val="both"/>
        <w:rPr>
          <w:rFonts w:cstheme="minorHAnsi"/>
        </w:rPr>
      </w:pPr>
      <w:r>
        <w:rPr>
          <w:rFonts w:cstheme="minorHAnsi"/>
        </w:rPr>
        <w:t>Una R</w:t>
      </w:r>
      <w:r w:rsidRPr="007C6107">
        <w:rPr>
          <w:rFonts w:cstheme="minorHAnsi"/>
        </w:rPr>
        <w:t>ed cooperativa también transfiere capacidad cuando pone recursos, muestras, datos o procedimientos a disposición de otros centros. Estos activos no son asistencia clínica directa, pero reducen barreras para validar resultados y permiten que nuevos desarrollos avancen con mayor rapidez.</w:t>
      </w:r>
    </w:p>
    <w:p w14:paraId="439E7DF6" w14:textId="77777777" w:rsidR="007C6107" w:rsidRPr="007C6107" w:rsidRDefault="007C6107" w:rsidP="007C6107">
      <w:pPr>
        <w:spacing w:after="0" w:line="240" w:lineRule="auto"/>
        <w:jc w:val="both"/>
        <w:rPr>
          <w:rFonts w:cstheme="minorHAnsi"/>
        </w:rPr>
      </w:pPr>
      <w:r w:rsidRPr="007C6107">
        <w:rPr>
          <w:rFonts w:cstheme="minorHAnsi"/>
        </w:rPr>
        <w:t xml:space="preserve">En el Hospital Universitario Miguel Servet se mantienen abiertas colecciones de trombos, suero, muestras sanguíneas y líquido cefalorraquídeo en el </w:t>
      </w:r>
      <w:proofErr w:type="spellStart"/>
      <w:r w:rsidRPr="007C6107">
        <w:rPr>
          <w:rFonts w:cstheme="minorHAnsi"/>
        </w:rPr>
        <w:t>Biobanco</w:t>
      </w:r>
      <w:proofErr w:type="spellEnd"/>
      <w:r w:rsidRPr="007C6107">
        <w:rPr>
          <w:rFonts w:cstheme="minorHAnsi"/>
        </w:rPr>
        <w:t xml:space="preserve"> de Aragón. Además, la incorporación de </w:t>
      </w:r>
      <w:proofErr w:type="spellStart"/>
      <w:r w:rsidRPr="007C6107">
        <w:rPr>
          <w:rFonts w:cstheme="minorHAnsi"/>
        </w:rPr>
        <w:t>bioseñales</w:t>
      </w:r>
      <w:proofErr w:type="spellEnd"/>
      <w:r w:rsidRPr="007C6107">
        <w:rPr>
          <w:rFonts w:cstheme="minorHAnsi"/>
        </w:rPr>
        <w:t xml:space="preserve"> de ECG procedentes de monitores y </w:t>
      </w:r>
      <w:proofErr w:type="spellStart"/>
      <w:r w:rsidRPr="007C6107">
        <w:rPr>
          <w:rFonts w:cstheme="minorHAnsi"/>
        </w:rPr>
        <w:t>Holter</w:t>
      </w:r>
      <w:proofErr w:type="spellEnd"/>
      <w:r w:rsidRPr="007C6107">
        <w:rPr>
          <w:rFonts w:cstheme="minorHAnsi"/>
        </w:rPr>
        <w:t xml:space="preserve"> supuso que el </w:t>
      </w:r>
      <w:proofErr w:type="spellStart"/>
      <w:r w:rsidRPr="007C6107">
        <w:rPr>
          <w:rFonts w:cstheme="minorHAnsi"/>
        </w:rPr>
        <w:t>Biobanco</w:t>
      </w:r>
      <w:proofErr w:type="spellEnd"/>
      <w:r w:rsidRPr="007C6107">
        <w:rPr>
          <w:rFonts w:cstheme="minorHAnsi"/>
        </w:rPr>
        <w:t xml:space="preserve"> de Aragón aceptara por primera vez este tipo de información y avanzara en su integración con servidores del Servicio Aragonés de Salud.</w:t>
      </w:r>
    </w:p>
    <w:p w14:paraId="32532E85" w14:textId="77777777" w:rsidR="007C6107" w:rsidRPr="007C6107" w:rsidRDefault="007C6107" w:rsidP="007C6107">
      <w:pPr>
        <w:spacing w:after="0" w:line="240" w:lineRule="auto"/>
        <w:jc w:val="both"/>
        <w:rPr>
          <w:rFonts w:cstheme="minorHAnsi"/>
        </w:rPr>
      </w:pPr>
      <w:r w:rsidRPr="007C6107">
        <w:rPr>
          <w:rFonts w:cstheme="minorHAnsi"/>
        </w:rPr>
        <w:t xml:space="preserve">El </w:t>
      </w:r>
      <w:proofErr w:type="spellStart"/>
      <w:r w:rsidRPr="007C6107">
        <w:rPr>
          <w:rFonts w:cstheme="minorHAnsi"/>
        </w:rPr>
        <w:t>Institut</w:t>
      </w:r>
      <w:proofErr w:type="spellEnd"/>
      <w:r w:rsidRPr="007C6107">
        <w:rPr>
          <w:rFonts w:cstheme="minorHAnsi"/>
        </w:rPr>
        <w:t xml:space="preserve"> de Recerca </w:t>
      </w:r>
      <w:proofErr w:type="spellStart"/>
      <w:r w:rsidRPr="007C6107">
        <w:rPr>
          <w:rFonts w:cstheme="minorHAnsi"/>
        </w:rPr>
        <w:t>Biomèdica</w:t>
      </w:r>
      <w:proofErr w:type="spellEnd"/>
      <w:r w:rsidRPr="007C6107">
        <w:rPr>
          <w:rFonts w:cstheme="minorHAnsi"/>
        </w:rPr>
        <w:t xml:space="preserve"> de Girona Dr. Josep </w:t>
      </w:r>
      <w:proofErr w:type="spellStart"/>
      <w:r w:rsidRPr="007C6107">
        <w:rPr>
          <w:rFonts w:cstheme="minorHAnsi"/>
        </w:rPr>
        <w:t>Trueta</w:t>
      </w:r>
      <w:proofErr w:type="spellEnd"/>
      <w:r w:rsidRPr="007C6107">
        <w:rPr>
          <w:rFonts w:cstheme="minorHAnsi"/>
        </w:rPr>
        <w:t xml:space="preserve"> mantiene colecciones de plasma, suero, </w:t>
      </w:r>
      <w:proofErr w:type="spellStart"/>
      <w:r w:rsidRPr="007C6107">
        <w:rPr>
          <w:rFonts w:cstheme="minorHAnsi"/>
        </w:rPr>
        <w:t>buffy</w:t>
      </w:r>
      <w:proofErr w:type="spellEnd"/>
      <w:r w:rsidRPr="007C6107">
        <w:rPr>
          <w:rFonts w:cstheme="minorHAnsi"/>
        </w:rPr>
        <w:t xml:space="preserve"> </w:t>
      </w:r>
      <w:proofErr w:type="spellStart"/>
      <w:r w:rsidRPr="007C6107">
        <w:rPr>
          <w:rFonts w:cstheme="minorHAnsi"/>
        </w:rPr>
        <w:t>coat</w:t>
      </w:r>
      <w:proofErr w:type="spellEnd"/>
      <w:r w:rsidRPr="007C6107">
        <w:rPr>
          <w:rFonts w:cstheme="minorHAnsi"/>
        </w:rPr>
        <w:t xml:space="preserve">, trombos, placas de ateroma y muestras de pacientes con ictus hemorrágico y aneurisma intracraneal. El Hospital </w:t>
      </w:r>
      <w:proofErr w:type="spellStart"/>
      <w:r w:rsidRPr="007C6107">
        <w:rPr>
          <w:rFonts w:cstheme="minorHAnsi"/>
        </w:rPr>
        <w:t>Universitari</w:t>
      </w:r>
      <w:proofErr w:type="spellEnd"/>
      <w:r w:rsidRPr="007C6107">
        <w:rPr>
          <w:rFonts w:cstheme="minorHAnsi"/>
        </w:rPr>
        <w:t xml:space="preserve"> i </w:t>
      </w:r>
      <w:proofErr w:type="spellStart"/>
      <w:r w:rsidRPr="007C6107">
        <w:rPr>
          <w:rFonts w:cstheme="minorHAnsi"/>
        </w:rPr>
        <w:t>Politècnic</w:t>
      </w:r>
      <w:proofErr w:type="spellEnd"/>
      <w:r w:rsidRPr="007C6107">
        <w:rPr>
          <w:rFonts w:cstheme="minorHAnsi"/>
        </w:rPr>
        <w:t xml:space="preserve"> La Fe dispone de una colección de trombos, plasma y suero de pacientes con ictus isquémico. En Madrid se documentan colecciones activas registradas en el Registro de </w:t>
      </w:r>
      <w:proofErr w:type="spellStart"/>
      <w:r w:rsidRPr="007C6107">
        <w:rPr>
          <w:rFonts w:cstheme="minorHAnsi"/>
        </w:rPr>
        <w:t>Biobancos</w:t>
      </w:r>
      <w:proofErr w:type="spellEnd"/>
      <w:r w:rsidRPr="007C6107">
        <w:rPr>
          <w:rFonts w:cstheme="minorHAnsi"/>
        </w:rPr>
        <w:t xml:space="preserve"> del ISCIII y repositorios de datos clínicos y </w:t>
      </w:r>
      <w:proofErr w:type="spellStart"/>
      <w:r w:rsidRPr="007C6107">
        <w:rPr>
          <w:rFonts w:cstheme="minorHAnsi"/>
        </w:rPr>
        <w:t>proteómicos</w:t>
      </w:r>
      <w:proofErr w:type="spellEnd"/>
      <w:r w:rsidRPr="007C6107">
        <w:rPr>
          <w:rFonts w:cstheme="minorHAnsi"/>
        </w:rPr>
        <w:t xml:space="preserve"> en abierto.</w:t>
      </w:r>
    </w:p>
    <w:p w14:paraId="3C2C6A3A" w14:textId="77777777" w:rsidR="007C6107" w:rsidRPr="007C6107" w:rsidRDefault="007C6107" w:rsidP="007C6107">
      <w:pPr>
        <w:spacing w:after="0" w:line="240" w:lineRule="auto"/>
        <w:jc w:val="both"/>
        <w:rPr>
          <w:rFonts w:cstheme="minorHAnsi"/>
        </w:rPr>
      </w:pPr>
      <w:r w:rsidRPr="007C6107">
        <w:rPr>
          <w:rFonts w:cstheme="minorHAnsi"/>
        </w:rPr>
        <w:t xml:space="preserve">La cooperación también ha permitido transferir procedimientos entre centros. Investigadores del Complejo Hospitalario Universitario de Albacete colaboraron con el Hospital Clínico Universitario Virgen de la </w:t>
      </w:r>
      <w:proofErr w:type="spellStart"/>
      <w:r w:rsidRPr="007C6107">
        <w:rPr>
          <w:rFonts w:cstheme="minorHAnsi"/>
        </w:rPr>
        <w:t>Arrixaca</w:t>
      </w:r>
      <w:proofErr w:type="spellEnd"/>
      <w:r w:rsidRPr="007C6107">
        <w:rPr>
          <w:rFonts w:cstheme="minorHAnsi"/>
        </w:rPr>
        <w:t xml:space="preserve"> para desarrollar un protocolo de almacenamiento, conservación y caracterización de suero, plasma y material </w:t>
      </w:r>
      <w:proofErr w:type="spellStart"/>
      <w:r w:rsidRPr="007C6107">
        <w:rPr>
          <w:rFonts w:cstheme="minorHAnsi"/>
        </w:rPr>
        <w:t>trombótico</w:t>
      </w:r>
      <w:proofErr w:type="spellEnd"/>
      <w:r w:rsidRPr="007C6107">
        <w:rPr>
          <w:rFonts w:cstheme="minorHAnsi"/>
        </w:rPr>
        <w:t xml:space="preserve"> destinado a crear un </w:t>
      </w:r>
      <w:proofErr w:type="spellStart"/>
      <w:r w:rsidRPr="007C6107">
        <w:rPr>
          <w:rFonts w:cstheme="minorHAnsi"/>
        </w:rPr>
        <w:t>biobanco</w:t>
      </w:r>
      <w:proofErr w:type="spellEnd"/>
      <w:r w:rsidRPr="007C6107">
        <w:rPr>
          <w:rFonts w:cstheme="minorHAnsi"/>
        </w:rPr>
        <w:t xml:space="preserve"> específico para investigación cerebrovascular en Murcia.</w:t>
      </w:r>
    </w:p>
    <w:p w14:paraId="5D499D33" w14:textId="77777777" w:rsidR="007C6107" w:rsidRPr="007C6107" w:rsidRDefault="007C6107" w:rsidP="007C6107">
      <w:pPr>
        <w:spacing w:after="0" w:line="240" w:lineRule="auto"/>
        <w:jc w:val="both"/>
        <w:rPr>
          <w:rFonts w:cstheme="minorHAnsi"/>
        </w:rPr>
      </w:pPr>
    </w:p>
    <w:p w14:paraId="6C209AEC" w14:textId="77777777" w:rsidR="007C6107" w:rsidRPr="007C6107" w:rsidRDefault="007C6107" w:rsidP="007C6107">
      <w:pPr>
        <w:pStyle w:val="Ttulo1"/>
        <w:spacing w:before="0" w:line="240" w:lineRule="auto"/>
        <w:jc w:val="both"/>
        <w:rPr>
          <w:rFonts w:asciiTheme="minorHAnsi" w:hAnsiTheme="minorHAnsi" w:cstheme="minorHAnsi"/>
          <w:b/>
          <w:color w:val="auto"/>
          <w:sz w:val="28"/>
          <w:szCs w:val="28"/>
        </w:rPr>
      </w:pPr>
      <w:r w:rsidRPr="007C6107">
        <w:rPr>
          <w:rFonts w:asciiTheme="minorHAnsi" w:hAnsiTheme="minorHAnsi" w:cstheme="minorHAnsi"/>
          <w:b/>
          <w:color w:val="auto"/>
          <w:sz w:val="28"/>
          <w:szCs w:val="28"/>
        </w:rPr>
        <w:t>5. Una cartera de transferencia con recorrido</w:t>
      </w:r>
    </w:p>
    <w:p w14:paraId="39E43111" w14:textId="16F8BBD3" w:rsidR="007C6107" w:rsidRPr="007C6107" w:rsidRDefault="007C6107" w:rsidP="007C6107">
      <w:pPr>
        <w:spacing w:after="0" w:line="240" w:lineRule="auto"/>
        <w:jc w:val="both"/>
        <w:rPr>
          <w:rFonts w:cstheme="minorHAnsi"/>
        </w:rPr>
      </w:pPr>
      <w:r w:rsidRPr="007C6107">
        <w:rPr>
          <w:rFonts w:cstheme="minorHAnsi"/>
        </w:rPr>
        <w:t>El conjunto de actuaciones muestra que</w:t>
      </w:r>
      <w:r>
        <w:rPr>
          <w:rFonts w:cstheme="minorHAnsi"/>
        </w:rPr>
        <w:t xml:space="preserve"> la</w:t>
      </w:r>
      <w:r w:rsidRPr="007C6107">
        <w:rPr>
          <w:rFonts w:cstheme="minorHAnsi"/>
        </w:rPr>
        <w:t xml:space="preserve"> RICORS-ICTUS ya ha generado transferencia en varios niveles simultáneos. Algunas aportaciones están plenamente implantadas: registros integrados en historia clínica, cambios en protocolos de traslado, códigos asistenciales, circuitos </w:t>
      </w:r>
      <w:proofErr w:type="spellStart"/>
      <w:r w:rsidRPr="007C6107">
        <w:rPr>
          <w:rFonts w:cstheme="minorHAnsi"/>
        </w:rPr>
        <w:t>postictus</w:t>
      </w:r>
      <w:proofErr w:type="spellEnd"/>
      <w:r w:rsidRPr="007C6107">
        <w:rPr>
          <w:rFonts w:cstheme="minorHAnsi"/>
        </w:rPr>
        <w:t xml:space="preserve">, programas de pacientes y herramientas formativas. Otras se encuentran en una fase de transferencia activa y verificable: protección de propiedad industrial, licencia, codesarrollo con empresas, validación </w:t>
      </w:r>
      <w:proofErr w:type="spellStart"/>
      <w:r w:rsidRPr="007C6107">
        <w:rPr>
          <w:rFonts w:cstheme="minorHAnsi"/>
        </w:rPr>
        <w:t>multicéntrica</w:t>
      </w:r>
      <w:proofErr w:type="spellEnd"/>
      <w:r w:rsidRPr="007C6107">
        <w:rPr>
          <w:rFonts w:cstheme="minorHAnsi"/>
        </w:rPr>
        <w:t>, análisis regulatorio y de mercado o tramitación ante la AEMPS.</w:t>
      </w:r>
    </w:p>
    <w:p w14:paraId="023B3138" w14:textId="3DEE1178" w:rsidR="007C6107" w:rsidRPr="007C6107" w:rsidRDefault="007C6107" w:rsidP="007C6107">
      <w:pPr>
        <w:spacing w:after="0" w:line="240" w:lineRule="auto"/>
        <w:jc w:val="both"/>
        <w:rPr>
          <w:rFonts w:cstheme="minorHAnsi"/>
        </w:rPr>
      </w:pPr>
      <w:r w:rsidRPr="007C6107">
        <w:rPr>
          <w:rFonts w:cstheme="minorHAnsi"/>
        </w:rPr>
        <w:t xml:space="preserve">La fortaleza de la Red reside en conectar esos niveles. Una herramienta nacida en un grupo puede validarse en muchos hospitales; un </w:t>
      </w:r>
      <w:proofErr w:type="spellStart"/>
      <w:r w:rsidRPr="007C6107">
        <w:rPr>
          <w:rFonts w:cstheme="minorHAnsi"/>
        </w:rPr>
        <w:t>biomarcador</w:t>
      </w:r>
      <w:proofErr w:type="spellEnd"/>
      <w:r w:rsidRPr="007C6107">
        <w:rPr>
          <w:rFonts w:cstheme="minorHAnsi"/>
        </w:rPr>
        <w:t xml:space="preserve"> puede pasar de una cohorte local a un proceso de valorización; una estrategia terapéutica puede avanzar hacia una empresa o un desarrollo regulatorio; y una experiencia asistencial puede convertirse en protocolo regional. Esa capacidad de mover resultados entre investigación, tecnología y asistencia es el núcleo de la transferencia de </w:t>
      </w:r>
      <w:r>
        <w:rPr>
          <w:rFonts w:cstheme="minorHAnsi"/>
        </w:rPr>
        <w:t xml:space="preserve">la </w:t>
      </w:r>
      <w:bookmarkStart w:id="0" w:name="_GoBack"/>
      <w:bookmarkEnd w:id="0"/>
      <w:r w:rsidRPr="007C6107">
        <w:rPr>
          <w:rFonts w:cstheme="minorHAnsi"/>
        </w:rPr>
        <w:t>RICORS-ICTUS.</w:t>
      </w:r>
    </w:p>
    <w:p w14:paraId="11A9CF9A" w14:textId="1992D474" w:rsidR="00613839" w:rsidRPr="000D6932" w:rsidRDefault="00613839" w:rsidP="007C6107">
      <w:pPr>
        <w:spacing w:before="100" w:beforeAutospacing="1" w:after="120"/>
        <w:jc w:val="both"/>
        <w:rPr>
          <w:rFonts w:cstheme="minorHAnsi"/>
        </w:rPr>
      </w:pPr>
    </w:p>
    <w:sectPr w:rsidR="00613839" w:rsidRPr="000D6932">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0851A" w14:textId="77777777" w:rsidR="00CC1F64" w:rsidRDefault="00CC1F64" w:rsidP="00F83BB3">
      <w:pPr>
        <w:spacing w:after="0" w:line="240" w:lineRule="auto"/>
      </w:pPr>
      <w:r>
        <w:separator/>
      </w:r>
    </w:p>
  </w:endnote>
  <w:endnote w:type="continuationSeparator" w:id="0">
    <w:p w14:paraId="4B047B60" w14:textId="77777777" w:rsidR="00CC1F64" w:rsidRDefault="00CC1F64" w:rsidP="00F83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29537062"/>
      <w:docPartObj>
        <w:docPartGallery w:val="Page Numbers (Bottom of Page)"/>
        <w:docPartUnique/>
      </w:docPartObj>
    </w:sdtPr>
    <w:sdtEndPr>
      <w:rPr>
        <w:rStyle w:val="Nmerodepgina"/>
      </w:rPr>
    </w:sdtEndPr>
    <w:sdtContent>
      <w:p w14:paraId="33B7D779" w14:textId="4D487BB4" w:rsidR="004030DB" w:rsidRDefault="004030DB" w:rsidP="00A9625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78A67AB" w14:textId="77777777" w:rsidR="004030DB" w:rsidRDefault="004030DB" w:rsidP="00672BE6">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06FAB" w14:textId="7B00413E" w:rsidR="00087042" w:rsidRPr="005203FB" w:rsidRDefault="00F60CB0" w:rsidP="00043401">
    <w:pPr>
      <w:pStyle w:val="Piedepgina"/>
      <w:jc w:val="center"/>
      <w:rPr>
        <w:rFonts w:ascii="Arial" w:hAnsi="Arial" w:cs="Arial"/>
        <w:b/>
        <w:i/>
        <w:iCs/>
        <w:color w:val="1F3864" w:themeColor="accent5" w:themeShade="80"/>
        <w:sz w:val="20"/>
        <w:szCs w:val="20"/>
        <w:shd w:val="clear" w:color="auto" w:fill="FFFFFF"/>
      </w:rPr>
    </w:pPr>
    <w:r>
      <w:rPr>
        <w:rFonts w:ascii="Arial" w:hAnsi="Arial" w:cs="Arial"/>
        <w:b/>
        <w:i/>
        <w:iCs/>
        <w:color w:val="1F3864" w:themeColor="accent5" w:themeShade="80"/>
        <w:sz w:val="20"/>
        <w:szCs w:val="20"/>
        <w:shd w:val="clear" w:color="auto" w:fill="FFFFFF"/>
      </w:rPr>
      <w:t>Ayuda RD24/0009</w:t>
    </w:r>
    <w:r w:rsidR="00087042" w:rsidRPr="005203FB">
      <w:rPr>
        <w:rFonts w:ascii="Arial" w:hAnsi="Arial" w:cs="Arial"/>
        <w:b/>
        <w:i/>
        <w:iCs/>
        <w:color w:val="1F3864" w:themeColor="accent5" w:themeShade="80"/>
        <w:sz w:val="20"/>
        <w:szCs w:val="20"/>
        <w:shd w:val="clear" w:color="auto" w:fill="FFFFFF"/>
      </w:rPr>
      <w:t>/0001 financiada por el Instituto de Salud Carlos III y cofinanciada por la Unión Europea</w:t>
    </w:r>
  </w:p>
  <w:p w14:paraId="7F42235C" w14:textId="77777777" w:rsidR="00087042" w:rsidRPr="00087042" w:rsidRDefault="00087042" w:rsidP="00043401">
    <w:pPr>
      <w:pStyle w:val="Piedepgina"/>
      <w:jc w:val="center"/>
      <w:rPr>
        <w:b/>
        <w:color w:val="1F3864" w:themeColor="accent5" w:themeShade="80"/>
        <w:sz w:val="16"/>
        <w:szCs w:val="16"/>
      </w:rPr>
    </w:pPr>
  </w:p>
  <w:p w14:paraId="40151DD2" w14:textId="6C3D1736" w:rsidR="004030DB" w:rsidRPr="00043401" w:rsidRDefault="004030DB" w:rsidP="00043401">
    <w:pPr>
      <w:pStyle w:val="Piedepgina"/>
      <w:jc w:val="center"/>
      <w:rPr>
        <w:b/>
        <w:color w:val="1F3864" w:themeColor="accent5" w:themeShade="80"/>
        <w:sz w:val="28"/>
        <w:szCs w:val="28"/>
      </w:rPr>
    </w:pPr>
    <w:r w:rsidRPr="00043401">
      <w:rPr>
        <w:b/>
        <w:color w:val="1F3864" w:themeColor="accent5" w:themeShade="80"/>
        <w:sz w:val="28"/>
        <w:szCs w:val="28"/>
      </w:rPr>
      <w:t>https://www.ricors-ictus.es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F1383" w14:textId="77777777" w:rsidR="004030DB" w:rsidRDefault="004030D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BBDCA" w14:textId="77777777" w:rsidR="00CC1F64" w:rsidRDefault="00CC1F64" w:rsidP="00F83BB3">
      <w:pPr>
        <w:spacing w:after="0" w:line="240" w:lineRule="auto"/>
      </w:pPr>
      <w:r>
        <w:separator/>
      </w:r>
    </w:p>
  </w:footnote>
  <w:footnote w:type="continuationSeparator" w:id="0">
    <w:p w14:paraId="06DC3637" w14:textId="77777777" w:rsidR="00CC1F64" w:rsidRDefault="00CC1F64" w:rsidP="00F83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2AFE2" w14:textId="77777777" w:rsidR="004030DB" w:rsidRDefault="004030D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1A21C" w14:textId="70500EC3" w:rsidR="004030DB" w:rsidRDefault="00A16CDD" w:rsidP="00333CC9">
    <w:pPr>
      <w:pStyle w:val="NormalWeb"/>
    </w:pPr>
    <w:r>
      <w:rPr>
        <w:noProof/>
      </w:rPr>
      <w:drawing>
        <wp:inline distT="0" distB="0" distL="0" distR="0" wp14:anchorId="65A8950E" wp14:editId="21D983DA">
          <wp:extent cx="428335" cy="561975"/>
          <wp:effectExtent l="0" t="0" r="0" b="0"/>
          <wp:docPr id="1" name="Imagen 1" descr="https://ricors-ictus.es/wp-content/uploads/2025/01/Logo-ISCI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icors-ictus.es/wp-content/uploads/2025/01/Logo-ISCIII.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2869" cy="581043"/>
                  </a:xfrm>
                  <a:prstGeom prst="rect">
                    <a:avLst/>
                  </a:prstGeom>
                  <a:noFill/>
                  <a:ln>
                    <a:noFill/>
                  </a:ln>
                </pic:spPr>
              </pic:pic>
            </a:graphicData>
          </a:graphic>
        </wp:inline>
      </w:drawing>
    </w:r>
    <w:r w:rsidR="004030DB">
      <w:rPr>
        <w:noProof/>
      </w:rPr>
      <w:t xml:space="preserve">              </w:t>
    </w:r>
    <w:r w:rsidR="00FC0199">
      <w:rPr>
        <w:noProof/>
      </w:rPr>
      <w:drawing>
        <wp:inline distT="0" distB="0" distL="0" distR="0" wp14:anchorId="4A533D82" wp14:editId="766B8901">
          <wp:extent cx="1418223" cy="359283"/>
          <wp:effectExtent l="0" t="0" r="0" b="3175"/>
          <wp:docPr id="3" name="Imagen 3" descr="https://ricors-ictus.es/wp-content/uploads/2025/01/MCIU.Gob_.Web_-300x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icors-ictus.es/wp-content/uploads/2025/01/MCIU.Gob_.Web_-300x76.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1855" cy="377936"/>
                  </a:xfrm>
                  <a:prstGeom prst="rect">
                    <a:avLst/>
                  </a:prstGeom>
                  <a:noFill/>
                  <a:ln>
                    <a:noFill/>
                  </a:ln>
                </pic:spPr>
              </pic:pic>
            </a:graphicData>
          </a:graphic>
        </wp:inline>
      </w:drawing>
    </w:r>
    <w:r w:rsidR="004030DB">
      <w:rPr>
        <w:noProof/>
      </w:rPr>
      <w:t xml:space="preserve">           </w:t>
    </w:r>
    <w:r w:rsidR="00FC0199" w:rsidRPr="00333CC9">
      <w:rPr>
        <w:noProof/>
      </w:rPr>
      <w:drawing>
        <wp:inline distT="0" distB="0" distL="0" distR="0" wp14:anchorId="7E01134C" wp14:editId="0A4E5442">
          <wp:extent cx="1465281" cy="485775"/>
          <wp:effectExtent l="0" t="0" r="0" b="0"/>
          <wp:docPr id="4" name="Imagen 4" descr="C:\Users\Lidia\Desktop\Lizasoain\RICORS 2024\Publicidad y Logos\es_cofinanciado_logo_peqque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dia\Desktop\Lizasoain\RICORS 2024\Publicidad y Logos\es_cofinanciado_logo_peqquen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5281" cy="485775"/>
                  </a:xfrm>
                  <a:prstGeom prst="rect">
                    <a:avLst/>
                  </a:prstGeom>
                  <a:noFill/>
                  <a:ln>
                    <a:noFill/>
                  </a:ln>
                </pic:spPr>
              </pic:pic>
            </a:graphicData>
          </a:graphic>
        </wp:inline>
      </w:drawing>
    </w:r>
    <w:r w:rsidR="004030DB">
      <w:rPr>
        <w:noProof/>
      </w:rPr>
      <w:t xml:space="preserve">       </w:t>
    </w:r>
    <w:r w:rsidR="00FC0199" w:rsidRPr="00056862">
      <w:rPr>
        <w:noProof/>
      </w:rPr>
      <w:drawing>
        <wp:inline distT="0" distB="0" distL="0" distR="0" wp14:anchorId="2086BF84" wp14:editId="6F2AF715">
          <wp:extent cx="847725" cy="565150"/>
          <wp:effectExtent l="0" t="0" r="9525" b="6350"/>
          <wp:docPr id="5" name="Imagen 5" descr="C:\Users\Lidia\Desktop\Lizasoain\RICORS 2024\Nuestra historia\Imagen RICORS-IC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dia\Desktop\Lizasoain\RICORS 2024\Nuestra historia\Imagen RICORS-ICTU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7725" cy="565150"/>
                  </a:xfrm>
                  <a:prstGeom prst="rect">
                    <a:avLst/>
                  </a:prstGeom>
                  <a:noFill/>
                  <a:ln>
                    <a:noFill/>
                  </a:ln>
                </pic:spPr>
              </pic:pic>
            </a:graphicData>
          </a:graphic>
        </wp:inline>
      </w:drawing>
    </w:r>
    <w:r w:rsidR="004030DB">
      <w:rPr>
        <w:noProof/>
      </w:rPr>
      <w:t xml:space="preserve">   </w:t>
    </w:r>
  </w:p>
  <w:p w14:paraId="5E2EEAC4" w14:textId="66412E1E" w:rsidR="00056862" w:rsidRDefault="00A16CDD">
    <w:pPr>
      <w:pStyle w:val="Encabezado"/>
      <w:rPr>
        <w:noProof/>
        <w:lang w:eastAsia="es-ES"/>
      </w:rPr>
    </w:pPr>
    <w:r>
      <w:rPr>
        <w:noProof/>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6D444" w14:textId="77777777" w:rsidR="004030DB" w:rsidRDefault="004030D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238"/>
    <w:multiLevelType w:val="hybridMultilevel"/>
    <w:tmpl w:val="BDEEE8F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30B6717"/>
    <w:multiLevelType w:val="hybridMultilevel"/>
    <w:tmpl w:val="759C6014"/>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15:restartNumberingAfterBreak="0">
    <w:nsid w:val="049B596C"/>
    <w:multiLevelType w:val="hybridMultilevel"/>
    <w:tmpl w:val="B98E3374"/>
    <w:lvl w:ilvl="0" w:tplc="0C0A000F">
      <w:start w:val="1"/>
      <w:numFmt w:val="decimal"/>
      <w:lvlText w:val="%1."/>
      <w:lvlJc w:val="left"/>
      <w:pPr>
        <w:ind w:left="2844" w:hanging="360"/>
      </w:pPr>
    </w:lvl>
    <w:lvl w:ilvl="1" w:tplc="0C0A0019" w:tentative="1">
      <w:start w:val="1"/>
      <w:numFmt w:val="lowerLetter"/>
      <w:lvlText w:val="%2."/>
      <w:lvlJc w:val="left"/>
      <w:pPr>
        <w:ind w:left="3564" w:hanging="360"/>
      </w:pPr>
    </w:lvl>
    <w:lvl w:ilvl="2" w:tplc="0C0A001B" w:tentative="1">
      <w:start w:val="1"/>
      <w:numFmt w:val="lowerRoman"/>
      <w:lvlText w:val="%3."/>
      <w:lvlJc w:val="right"/>
      <w:pPr>
        <w:ind w:left="4284" w:hanging="180"/>
      </w:pPr>
    </w:lvl>
    <w:lvl w:ilvl="3" w:tplc="0C0A000F" w:tentative="1">
      <w:start w:val="1"/>
      <w:numFmt w:val="decimal"/>
      <w:lvlText w:val="%4."/>
      <w:lvlJc w:val="left"/>
      <w:pPr>
        <w:ind w:left="5004" w:hanging="360"/>
      </w:pPr>
    </w:lvl>
    <w:lvl w:ilvl="4" w:tplc="0C0A0019" w:tentative="1">
      <w:start w:val="1"/>
      <w:numFmt w:val="lowerLetter"/>
      <w:lvlText w:val="%5."/>
      <w:lvlJc w:val="left"/>
      <w:pPr>
        <w:ind w:left="5724" w:hanging="360"/>
      </w:pPr>
    </w:lvl>
    <w:lvl w:ilvl="5" w:tplc="0C0A001B" w:tentative="1">
      <w:start w:val="1"/>
      <w:numFmt w:val="lowerRoman"/>
      <w:lvlText w:val="%6."/>
      <w:lvlJc w:val="right"/>
      <w:pPr>
        <w:ind w:left="6444" w:hanging="180"/>
      </w:pPr>
    </w:lvl>
    <w:lvl w:ilvl="6" w:tplc="0C0A000F" w:tentative="1">
      <w:start w:val="1"/>
      <w:numFmt w:val="decimal"/>
      <w:lvlText w:val="%7."/>
      <w:lvlJc w:val="left"/>
      <w:pPr>
        <w:ind w:left="7164" w:hanging="360"/>
      </w:pPr>
    </w:lvl>
    <w:lvl w:ilvl="7" w:tplc="0C0A0019" w:tentative="1">
      <w:start w:val="1"/>
      <w:numFmt w:val="lowerLetter"/>
      <w:lvlText w:val="%8."/>
      <w:lvlJc w:val="left"/>
      <w:pPr>
        <w:ind w:left="7884" w:hanging="360"/>
      </w:pPr>
    </w:lvl>
    <w:lvl w:ilvl="8" w:tplc="0C0A001B" w:tentative="1">
      <w:start w:val="1"/>
      <w:numFmt w:val="lowerRoman"/>
      <w:lvlText w:val="%9."/>
      <w:lvlJc w:val="right"/>
      <w:pPr>
        <w:ind w:left="8604" w:hanging="180"/>
      </w:pPr>
    </w:lvl>
  </w:abstractNum>
  <w:abstractNum w:abstractNumId="3" w15:restartNumberingAfterBreak="0">
    <w:nsid w:val="08056770"/>
    <w:multiLevelType w:val="hybridMultilevel"/>
    <w:tmpl w:val="EE409B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237089"/>
    <w:multiLevelType w:val="hybridMultilevel"/>
    <w:tmpl w:val="6C0A5D7E"/>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B6C573C"/>
    <w:multiLevelType w:val="hybridMultilevel"/>
    <w:tmpl w:val="59E04F6E"/>
    <w:lvl w:ilvl="0" w:tplc="DE7617F4">
      <w:start w:val="1"/>
      <w:numFmt w:val="lowerLetter"/>
      <w:lvlText w:val="%1)"/>
      <w:lvlJc w:val="left"/>
      <w:pPr>
        <w:tabs>
          <w:tab w:val="num" w:pos="567"/>
        </w:tabs>
        <w:ind w:left="360" w:firstLine="0"/>
      </w:pPr>
      <w:rPr>
        <w:rFonts w:hint="default"/>
      </w:rPr>
    </w:lvl>
    <w:lvl w:ilvl="1" w:tplc="0C0A0019" w:tentative="1">
      <w:start w:val="1"/>
      <w:numFmt w:val="lowerLetter"/>
      <w:lvlText w:val="%2."/>
      <w:lvlJc w:val="left"/>
      <w:pPr>
        <w:ind w:left="1593" w:hanging="360"/>
      </w:pPr>
    </w:lvl>
    <w:lvl w:ilvl="2" w:tplc="0C0A001B" w:tentative="1">
      <w:start w:val="1"/>
      <w:numFmt w:val="lowerRoman"/>
      <w:lvlText w:val="%3."/>
      <w:lvlJc w:val="right"/>
      <w:pPr>
        <w:ind w:left="2313" w:hanging="180"/>
      </w:pPr>
    </w:lvl>
    <w:lvl w:ilvl="3" w:tplc="0C0A000F" w:tentative="1">
      <w:start w:val="1"/>
      <w:numFmt w:val="decimal"/>
      <w:lvlText w:val="%4."/>
      <w:lvlJc w:val="left"/>
      <w:pPr>
        <w:ind w:left="3033" w:hanging="360"/>
      </w:pPr>
    </w:lvl>
    <w:lvl w:ilvl="4" w:tplc="0C0A0019" w:tentative="1">
      <w:start w:val="1"/>
      <w:numFmt w:val="lowerLetter"/>
      <w:lvlText w:val="%5."/>
      <w:lvlJc w:val="left"/>
      <w:pPr>
        <w:ind w:left="3753" w:hanging="360"/>
      </w:pPr>
    </w:lvl>
    <w:lvl w:ilvl="5" w:tplc="0C0A001B" w:tentative="1">
      <w:start w:val="1"/>
      <w:numFmt w:val="lowerRoman"/>
      <w:lvlText w:val="%6."/>
      <w:lvlJc w:val="right"/>
      <w:pPr>
        <w:ind w:left="4473" w:hanging="180"/>
      </w:pPr>
    </w:lvl>
    <w:lvl w:ilvl="6" w:tplc="0C0A000F" w:tentative="1">
      <w:start w:val="1"/>
      <w:numFmt w:val="decimal"/>
      <w:lvlText w:val="%7."/>
      <w:lvlJc w:val="left"/>
      <w:pPr>
        <w:ind w:left="5193" w:hanging="360"/>
      </w:pPr>
    </w:lvl>
    <w:lvl w:ilvl="7" w:tplc="0C0A0019" w:tentative="1">
      <w:start w:val="1"/>
      <w:numFmt w:val="lowerLetter"/>
      <w:lvlText w:val="%8."/>
      <w:lvlJc w:val="left"/>
      <w:pPr>
        <w:ind w:left="5913" w:hanging="360"/>
      </w:pPr>
    </w:lvl>
    <w:lvl w:ilvl="8" w:tplc="0C0A001B" w:tentative="1">
      <w:start w:val="1"/>
      <w:numFmt w:val="lowerRoman"/>
      <w:lvlText w:val="%9."/>
      <w:lvlJc w:val="right"/>
      <w:pPr>
        <w:ind w:left="6633" w:hanging="180"/>
      </w:pPr>
    </w:lvl>
  </w:abstractNum>
  <w:abstractNum w:abstractNumId="6" w15:restartNumberingAfterBreak="0">
    <w:nsid w:val="0BF97207"/>
    <w:multiLevelType w:val="hybridMultilevel"/>
    <w:tmpl w:val="7B70E4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483593"/>
    <w:multiLevelType w:val="hybridMultilevel"/>
    <w:tmpl w:val="2624BD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462272"/>
    <w:multiLevelType w:val="hybridMultilevel"/>
    <w:tmpl w:val="3E9C7808"/>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4DF61F5"/>
    <w:multiLevelType w:val="hybridMultilevel"/>
    <w:tmpl w:val="A2E0EB5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5E81959"/>
    <w:multiLevelType w:val="hybridMultilevel"/>
    <w:tmpl w:val="38B6F8A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198D62F1"/>
    <w:multiLevelType w:val="hybridMultilevel"/>
    <w:tmpl w:val="167CDD3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B682A4E"/>
    <w:multiLevelType w:val="hybridMultilevel"/>
    <w:tmpl w:val="6FDCB6DA"/>
    <w:lvl w:ilvl="0" w:tplc="49186E48">
      <w:start w:val="1"/>
      <w:numFmt w:val="bullet"/>
      <w:lvlText w:val=""/>
      <w:lvlJc w:val="left"/>
      <w:pPr>
        <w:tabs>
          <w:tab w:val="num" w:pos="720"/>
        </w:tabs>
        <w:ind w:left="720" w:hanging="360"/>
      </w:pPr>
      <w:rPr>
        <w:rFonts w:ascii="Wingdings" w:hAnsi="Wingdings" w:hint="default"/>
      </w:rPr>
    </w:lvl>
    <w:lvl w:ilvl="1" w:tplc="60F4CE5C" w:tentative="1">
      <w:start w:val="1"/>
      <w:numFmt w:val="bullet"/>
      <w:lvlText w:val=""/>
      <w:lvlJc w:val="left"/>
      <w:pPr>
        <w:tabs>
          <w:tab w:val="num" w:pos="1440"/>
        </w:tabs>
        <w:ind w:left="1440" w:hanging="360"/>
      </w:pPr>
      <w:rPr>
        <w:rFonts w:ascii="Wingdings" w:hAnsi="Wingdings" w:hint="default"/>
      </w:rPr>
    </w:lvl>
    <w:lvl w:ilvl="2" w:tplc="564AE692" w:tentative="1">
      <w:start w:val="1"/>
      <w:numFmt w:val="bullet"/>
      <w:lvlText w:val=""/>
      <w:lvlJc w:val="left"/>
      <w:pPr>
        <w:tabs>
          <w:tab w:val="num" w:pos="2160"/>
        </w:tabs>
        <w:ind w:left="2160" w:hanging="360"/>
      </w:pPr>
      <w:rPr>
        <w:rFonts w:ascii="Wingdings" w:hAnsi="Wingdings" w:hint="default"/>
      </w:rPr>
    </w:lvl>
    <w:lvl w:ilvl="3" w:tplc="0A9E97AE" w:tentative="1">
      <w:start w:val="1"/>
      <w:numFmt w:val="bullet"/>
      <w:lvlText w:val=""/>
      <w:lvlJc w:val="left"/>
      <w:pPr>
        <w:tabs>
          <w:tab w:val="num" w:pos="2880"/>
        </w:tabs>
        <w:ind w:left="2880" w:hanging="360"/>
      </w:pPr>
      <w:rPr>
        <w:rFonts w:ascii="Wingdings" w:hAnsi="Wingdings" w:hint="default"/>
      </w:rPr>
    </w:lvl>
    <w:lvl w:ilvl="4" w:tplc="5450E868" w:tentative="1">
      <w:start w:val="1"/>
      <w:numFmt w:val="bullet"/>
      <w:lvlText w:val=""/>
      <w:lvlJc w:val="left"/>
      <w:pPr>
        <w:tabs>
          <w:tab w:val="num" w:pos="3600"/>
        </w:tabs>
        <w:ind w:left="3600" w:hanging="360"/>
      </w:pPr>
      <w:rPr>
        <w:rFonts w:ascii="Wingdings" w:hAnsi="Wingdings" w:hint="default"/>
      </w:rPr>
    </w:lvl>
    <w:lvl w:ilvl="5" w:tplc="69683CDE" w:tentative="1">
      <w:start w:val="1"/>
      <w:numFmt w:val="bullet"/>
      <w:lvlText w:val=""/>
      <w:lvlJc w:val="left"/>
      <w:pPr>
        <w:tabs>
          <w:tab w:val="num" w:pos="4320"/>
        </w:tabs>
        <w:ind w:left="4320" w:hanging="360"/>
      </w:pPr>
      <w:rPr>
        <w:rFonts w:ascii="Wingdings" w:hAnsi="Wingdings" w:hint="default"/>
      </w:rPr>
    </w:lvl>
    <w:lvl w:ilvl="6" w:tplc="5E5C762C" w:tentative="1">
      <w:start w:val="1"/>
      <w:numFmt w:val="bullet"/>
      <w:lvlText w:val=""/>
      <w:lvlJc w:val="left"/>
      <w:pPr>
        <w:tabs>
          <w:tab w:val="num" w:pos="5040"/>
        </w:tabs>
        <w:ind w:left="5040" w:hanging="360"/>
      </w:pPr>
      <w:rPr>
        <w:rFonts w:ascii="Wingdings" w:hAnsi="Wingdings" w:hint="default"/>
      </w:rPr>
    </w:lvl>
    <w:lvl w:ilvl="7" w:tplc="CFD0E9C6" w:tentative="1">
      <w:start w:val="1"/>
      <w:numFmt w:val="bullet"/>
      <w:lvlText w:val=""/>
      <w:lvlJc w:val="left"/>
      <w:pPr>
        <w:tabs>
          <w:tab w:val="num" w:pos="5760"/>
        </w:tabs>
        <w:ind w:left="5760" w:hanging="360"/>
      </w:pPr>
      <w:rPr>
        <w:rFonts w:ascii="Wingdings" w:hAnsi="Wingdings" w:hint="default"/>
      </w:rPr>
    </w:lvl>
    <w:lvl w:ilvl="8" w:tplc="DB2821C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D1343E"/>
    <w:multiLevelType w:val="hybridMultilevel"/>
    <w:tmpl w:val="B9FEB78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15:restartNumberingAfterBreak="0">
    <w:nsid w:val="21450744"/>
    <w:multiLevelType w:val="hybridMultilevel"/>
    <w:tmpl w:val="DFE034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4D6681E"/>
    <w:multiLevelType w:val="hybridMultilevel"/>
    <w:tmpl w:val="172427B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D777AB"/>
    <w:multiLevelType w:val="hybridMultilevel"/>
    <w:tmpl w:val="4B64C00A"/>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7" w15:restartNumberingAfterBreak="0">
    <w:nsid w:val="2BA93F1A"/>
    <w:multiLevelType w:val="hybridMultilevel"/>
    <w:tmpl w:val="03041932"/>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15:restartNumberingAfterBreak="0">
    <w:nsid w:val="2E78636A"/>
    <w:multiLevelType w:val="hybridMultilevel"/>
    <w:tmpl w:val="B30EBA4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15:restartNumberingAfterBreak="0">
    <w:nsid w:val="2F783931"/>
    <w:multiLevelType w:val="hybridMultilevel"/>
    <w:tmpl w:val="A008C9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6050B2"/>
    <w:multiLevelType w:val="hybridMultilevel"/>
    <w:tmpl w:val="29BED90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1" w15:restartNumberingAfterBreak="0">
    <w:nsid w:val="3687110F"/>
    <w:multiLevelType w:val="hybridMultilevel"/>
    <w:tmpl w:val="63C6FB96"/>
    <w:lvl w:ilvl="0" w:tplc="0C0A0019">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2" w15:restartNumberingAfterBreak="0">
    <w:nsid w:val="3A4C2C0C"/>
    <w:multiLevelType w:val="multilevel"/>
    <w:tmpl w:val="FDB6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A4DD7"/>
    <w:multiLevelType w:val="hybridMultilevel"/>
    <w:tmpl w:val="7090B348"/>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01528D8"/>
    <w:multiLevelType w:val="hybridMultilevel"/>
    <w:tmpl w:val="445603D2"/>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5" w15:restartNumberingAfterBreak="0">
    <w:nsid w:val="445230F7"/>
    <w:multiLevelType w:val="multilevel"/>
    <w:tmpl w:val="54C0B5EE"/>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Symbol" w:eastAsia="Times New Roman" w:hAnsi="Symbol" w:cstheme="minorHAnsi"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16A5D"/>
    <w:multiLevelType w:val="hybridMultilevel"/>
    <w:tmpl w:val="730AC81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97B4747"/>
    <w:multiLevelType w:val="hybridMultilevel"/>
    <w:tmpl w:val="473082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80080A"/>
    <w:multiLevelType w:val="hybridMultilevel"/>
    <w:tmpl w:val="5162AD34"/>
    <w:lvl w:ilvl="0" w:tplc="0C0A0005">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9" w15:restartNumberingAfterBreak="0">
    <w:nsid w:val="4F52317E"/>
    <w:multiLevelType w:val="hybridMultilevel"/>
    <w:tmpl w:val="E07EC658"/>
    <w:lvl w:ilvl="0" w:tplc="3488D220">
      <w:start w:val="5"/>
      <w:numFmt w:val="lowerLetter"/>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0" w15:restartNumberingAfterBreak="0">
    <w:nsid w:val="50FE6D80"/>
    <w:multiLevelType w:val="hybridMultilevel"/>
    <w:tmpl w:val="407432A0"/>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1" w15:restartNumberingAfterBreak="0">
    <w:nsid w:val="54CC6603"/>
    <w:multiLevelType w:val="hybridMultilevel"/>
    <w:tmpl w:val="7A30E2DA"/>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2" w15:restartNumberingAfterBreak="0">
    <w:nsid w:val="573273FA"/>
    <w:multiLevelType w:val="hybridMultilevel"/>
    <w:tmpl w:val="3AB0BA1C"/>
    <w:lvl w:ilvl="0" w:tplc="EB0E0568">
      <w:start w:val="1"/>
      <w:numFmt w:val="bullet"/>
      <w:lvlText w:val=""/>
      <w:lvlJc w:val="left"/>
      <w:pPr>
        <w:ind w:left="1800" w:hanging="360"/>
      </w:pPr>
      <w:rPr>
        <w:rFonts w:ascii="Wingdings" w:hAnsi="Wingdings" w:hint="default"/>
        <w:color w:val="808080"/>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3" w15:restartNumberingAfterBreak="0">
    <w:nsid w:val="58AD30CF"/>
    <w:multiLevelType w:val="hybridMultilevel"/>
    <w:tmpl w:val="7CECCD9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5DC10923"/>
    <w:multiLevelType w:val="hybridMultilevel"/>
    <w:tmpl w:val="51F0CB0A"/>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651116"/>
    <w:multiLevelType w:val="hybridMultilevel"/>
    <w:tmpl w:val="7C1A7C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3F27774"/>
    <w:multiLevelType w:val="hybridMultilevel"/>
    <w:tmpl w:val="C5B44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73D55FD"/>
    <w:multiLevelType w:val="hybridMultilevel"/>
    <w:tmpl w:val="6C0A5D7E"/>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6B5578DB"/>
    <w:multiLevelType w:val="hybridMultilevel"/>
    <w:tmpl w:val="4A9840C2"/>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9" w15:restartNumberingAfterBreak="0">
    <w:nsid w:val="706A7465"/>
    <w:multiLevelType w:val="hybridMultilevel"/>
    <w:tmpl w:val="4D3078CE"/>
    <w:lvl w:ilvl="0" w:tplc="5136DFA8">
      <w:start w:val="5"/>
      <w:numFmt w:val="lowerLetter"/>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2C42CFD"/>
    <w:multiLevelType w:val="multilevel"/>
    <w:tmpl w:val="24FA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80FD7"/>
    <w:multiLevelType w:val="hybridMultilevel"/>
    <w:tmpl w:val="ABC63CB0"/>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AFC464D6">
      <w:start w:val="1"/>
      <w:numFmt w:val="lowerLetter"/>
      <w:lvlText w:val="%4)"/>
      <w:lvlJc w:val="left"/>
      <w:pPr>
        <w:ind w:left="2880" w:hanging="360"/>
      </w:pPr>
      <w:rPr>
        <w:rFonts w:hint="default"/>
      </w:r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2" w15:restartNumberingAfterBreak="0">
    <w:nsid w:val="7A7112E7"/>
    <w:multiLevelType w:val="hybridMultilevel"/>
    <w:tmpl w:val="B3FECEBC"/>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3" w15:restartNumberingAfterBreak="0">
    <w:nsid w:val="7BCA349B"/>
    <w:multiLevelType w:val="hybridMultilevel"/>
    <w:tmpl w:val="DEE23EB8"/>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3"/>
  </w:num>
  <w:num w:numId="2">
    <w:abstractNumId w:val="12"/>
  </w:num>
  <w:num w:numId="3">
    <w:abstractNumId w:val="41"/>
  </w:num>
  <w:num w:numId="4">
    <w:abstractNumId w:val="6"/>
  </w:num>
  <w:num w:numId="5">
    <w:abstractNumId w:val="10"/>
  </w:num>
  <w:num w:numId="6">
    <w:abstractNumId w:val="29"/>
  </w:num>
  <w:num w:numId="7">
    <w:abstractNumId w:val="5"/>
  </w:num>
  <w:num w:numId="8">
    <w:abstractNumId w:val="39"/>
  </w:num>
  <w:num w:numId="9">
    <w:abstractNumId w:val="38"/>
  </w:num>
  <w:num w:numId="10">
    <w:abstractNumId w:val="25"/>
  </w:num>
  <w:num w:numId="11">
    <w:abstractNumId w:val="11"/>
  </w:num>
  <w:num w:numId="12">
    <w:abstractNumId w:val="7"/>
  </w:num>
  <w:num w:numId="13">
    <w:abstractNumId w:val="23"/>
  </w:num>
  <w:num w:numId="14">
    <w:abstractNumId w:val="35"/>
  </w:num>
  <w:num w:numId="15">
    <w:abstractNumId w:val="30"/>
  </w:num>
  <w:num w:numId="16">
    <w:abstractNumId w:val="17"/>
  </w:num>
  <w:num w:numId="17">
    <w:abstractNumId w:val="13"/>
  </w:num>
  <w:num w:numId="18">
    <w:abstractNumId w:val="21"/>
  </w:num>
  <w:num w:numId="19">
    <w:abstractNumId w:val="27"/>
  </w:num>
  <w:num w:numId="20">
    <w:abstractNumId w:val="3"/>
  </w:num>
  <w:num w:numId="21">
    <w:abstractNumId w:val="8"/>
  </w:num>
  <w:num w:numId="22">
    <w:abstractNumId w:val="14"/>
  </w:num>
  <w:num w:numId="23">
    <w:abstractNumId w:val="36"/>
  </w:num>
  <w:num w:numId="24">
    <w:abstractNumId w:val="19"/>
  </w:num>
  <w:num w:numId="25">
    <w:abstractNumId w:val="20"/>
  </w:num>
  <w:num w:numId="26">
    <w:abstractNumId w:val="24"/>
  </w:num>
  <w:num w:numId="27">
    <w:abstractNumId w:val="1"/>
  </w:num>
  <w:num w:numId="28">
    <w:abstractNumId w:val="31"/>
  </w:num>
  <w:num w:numId="29">
    <w:abstractNumId w:val="0"/>
  </w:num>
  <w:num w:numId="30">
    <w:abstractNumId w:val="18"/>
  </w:num>
  <w:num w:numId="31">
    <w:abstractNumId w:val="26"/>
  </w:num>
  <w:num w:numId="32">
    <w:abstractNumId w:val="9"/>
  </w:num>
  <w:num w:numId="33">
    <w:abstractNumId w:val="34"/>
  </w:num>
  <w:num w:numId="34">
    <w:abstractNumId w:val="4"/>
  </w:num>
  <w:num w:numId="35">
    <w:abstractNumId w:val="16"/>
  </w:num>
  <w:num w:numId="36">
    <w:abstractNumId w:val="37"/>
  </w:num>
  <w:num w:numId="37">
    <w:abstractNumId w:val="28"/>
  </w:num>
  <w:num w:numId="38">
    <w:abstractNumId w:val="32"/>
  </w:num>
  <w:num w:numId="39">
    <w:abstractNumId w:val="42"/>
  </w:num>
  <w:num w:numId="40">
    <w:abstractNumId w:val="22"/>
  </w:num>
  <w:num w:numId="41">
    <w:abstractNumId w:val="2"/>
  </w:num>
  <w:num w:numId="42">
    <w:abstractNumId w:val="15"/>
  </w:num>
  <w:num w:numId="43">
    <w:abstractNumId w:val="33"/>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BB3"/>
    <w:rsid w:val="00007FE7"/>
    <w:rsid w:val="0001055C"/>
    <w:rsid w:val="00015DFE"/>
    <w:rsid w:val="000204EA"/>
    <w:rsid w:val="00025953"/>
    <w:rsid w:val="000315AD"/>
    <w:rsid w:val="00033C5A"/>
    <w:rsid w:val="00034861"/>
    <w:rsid w:val="000408D0"/>
    <w:rsid w:val="00043401"/>
    <w:rsid w:val="0004454E"/>
    <w:rsid w:val="00047B07"/>
    <w:rsid w:val="00054A78"/>
    <w:rsid w:val="00056862"/>
    <w:rsid w:val="00057C52"/>
    <w:rsid w:val="00071F9A"/>
    <w:rsid w:val="00075A4B"/>
    <w:rsid w:val="00080FD0"/>
    <w:rsid w:val="0008422F"/>
    <w:rsid w:val="00087042"/>
    <w:rsid w:val="000B4CC4"/>
    <w:rsid w:val="000B5A41"/>
    <w:rsid w:val="000B78BA"/>
    <w:rsid w:val="000C1069"/>
    <w:rsid w:val="000D6932"/>
    <w:rsid w:val="000E61A6"/>
    <w:rsid w:val="000F67FC"/>
    <w:rsid w:val="0010637B"/>
    <w:rsid w:val="0011369A"/>
    <w:rsid w:val="001305BE"/>
    <w:rsid w:val="00133A2C"/>
    <w:rsid w:val="00140520"/>
    <w:rsid w:val="001427FB"/>
    <w:rsid w:val="0015393F"/>
    <w:rsid w:val="00157650"/>
    <w:rsid w:val="001627B3"/>
    <w:rsid w:val="001649ED"/>
    <w:rsid w:val="001664B7"/>
    <w:rsid w:val="00194D11"/>
    <w:rsid w:val="001A2450"/>
    <w:rsid w:val="001A2E94"/>
    <w:rsid w:val="001A4C37"/>
    <w:rsid w:val="001B4046"/>
    <w:rsid w:val="001B6F0D"/>
    <w:rsid w:val="001C2948"/>
    <w:rsid w:val="001C3DF4"/>
    <w:rsid w:val="001C4E28"/>
    <w:rsid w:val="001C577C"/>
    <w:rsid w:val="001C63AE"/>
    <w:rsid w:val="001D2406"/>
    <w:rsid w:val="001D77B1"/>
    <w:rsid w:val="001F1278"/>
    <w:rsid w:val="001F5B24"/>
    <w:rsid w:val="0021026F"/>
    <w:rsid w:val="0021132A"/>
    <w:rsid w:val="00220090"/>
    <w:rsid w:val="00226193"/>
    <w:rsid w:val="00241F6B"/>
    <w:rsid w:val="00246AE1"/>
    <w:rsid w:val="00253E7E"/>
    <w:rsid w:val="0026642C"/>
    <w:rsid w:val="00275F5D"/>
    <w:rsid w:val="0027755C"/>
    <w:rsid w:val="00290FE0"/>
    <w:rsid w:val="002A0F72"/>
    <w:rsid w:val="002E7FF4"/>
    <w:rsid w:val="002F1B19"/>
    <w:rsid w:val="00312156"/>
    <w:rsid w:val="0031738F"/>
    <w:rsid w:val="00322895"/>
    <w:rsid w:val="00331037"/>
    <w:rsid w:val="00333935"/>
    <w:rsid w:val="00333CC9"/>
    <w:rsid w:val="00346CED"/>
    <w:rsid w:val="003509F0"/>
    <w:rsid w:val="00376DED"/>
    <w:rsid w:val="0038337F"/>
    <w:rsid w:val="00391F9F"/>
    <w:rsid w:val="00395F4D"/>
    <w:rsid w:val="00396147"/>
    <w:rsid w:val="003A2D56"/>
    <w:rsid w:val="003B09A2"/>
    <w:rsid w:val="003D591A"/>
    <w:rsid w:val="003E33FE"/>
    <w:rsid w:val="00401543"/>
    <w:rsid w:val="004030DB"/>
    <w:rsid w:val="00412DFA"/>
    <w:rsid w:val="00414D3A"/>
    <w:rsid w:val="00447007"/>
    <w:rsid w:val="00452BF9"/>
    <w:rsid w:val="00456BE8"/>
    <w:rsid w:val="00465283"/>
    <w:rsid w:val="00471339"/>
    <w:rsid w:val="00490E11"/>
    <w:rsid w:val="00491B4A"/>
    <w:rsid w:val="004A3B40"/>
    <w:rsid w:val="004B2717"/>
    <w:rsid w:val="004D1ED9"/>
    <w:rsid w:val="004D3D40"/>
    <w:rsid w:val="004E7FCD"/>
    <w:rsid w:val="00502731"/>
    <w:rsid w:val="00503D50"/>
    <w:rsid w:val="00512E99"/>
    <w:rsid w:val="005203FB"/>
    <w:rsid w:val="00521335"/>
    <w:rsid w:val="00532980"/>
    <w:rsid w:val="00542B60"/>
    <w:rsid w:val="00542E0C"/>
    <w:rsid w:val="00543EC6"/>
    <w:rsid w:val="00544D32"/>
    <w:rsid w:val="0055004F"/>
    <w:rsid w:val="00552631"/>
    <w:rsid w:val="00562A82"/>
    <w:rsid w:val="005711E1"/>
    <w:rsid w:val="0058415C"/>
    <w:rsid w:val="00595490"/>
    <w:rsid w:val="005A11DE"/>
    <w:rsid w:val="005B3DB0"/>
    <w:rsid w:val="005B76FF"/>
    <w:rsid w:val="005C32C1"/>
    <w:rsid w:val="005C3E1F"/>
    <w:rsid w:val="005C51A3"/>
    <w:rsid w:val="005E31DC"/>
    <w:rsid w:val="005E3486"/>
    <w:rsid w:val="005E3FDF"/>
    <w:rsid w:val="005F2460"/>
    <w:rsid w:val="005F3FB4"/>
    <w:rsid w:val="005F67B0"/>
    <w:rsid w:val="00613839"/>
    <w:rsid w:val="00615522"/>
    <w:rsid w:val="00627660"/>
    <w:rsid w:val="00631AC0"/>
    <w:rsid w:val="00645D09"/>
    <w:rsid w:val="006667F9"/>
    <w:rsid w:val="00672BE6"/>
    <w:rsid w:val="00672F27"/>
    <w:rsid w:val="00674989"/>
    <w:rsid w:val="0067677E"/>
    <w:rsid w:val="00687716"/>
    <w:rsid w:val="006A068C"/>
    <w:rsid w:val="006A523F"/>
    <w:rsid w:val="006A7F89"/>
    <w:rsid w:val="006E1EFF"/>
    <w:rsid w:val="006E5E66"/>
    <w:rsid w:val="006F3F77"/>
    <w:rsid w:val="00700704"/>
    <w:rsid w:val="00701E13"/>
    <w:rsid w:val="007129A7"/>
    <w:rsid w:val="0071415B"/>
    <w:rsid w:val="007154B1"/>
    <w:rsid w:val="00717652"/>
    <w:rsid w:val="0072242D"/>
    <w:rsid w:val="00732639"/>
    <w:rsid w:val="007355FA"/>
    <w:rsid w:val="00741C0D"/>
    <w:rsid w:val="0076321F"/>
    <w:rsid w:val="00771F0E"/>
    <w:rsid w:val="00785E33"/>
    <w:rsid w:val="007A4F57"/>
    <w:rsid w:val="007B11B2"/>
    <w:rsid w:val="007B438D"/>
    <w:rsid w:val="007C6107"/>
    <w:rsid w:val="007D3942"/>
    <w:rsid w:val="007D3E76"/>
    <w:rsid w:val="007D52BC"/>
    <w:rsid w:val="007D7EC6"/>
    <w:rsid w:val="00806888"/>
    <w:rsid w:val="0081795C"/>
    <w:rsid w:val="0083190C"/>
    <w:rsid w:val="00834ECF"/>
    <w:rsid w:val="00867771"/>
    <w:rsid w:val="00870807"/>
    <w:rsid w:val="008708BB"/>
    <w:rsid w:val="008806ED"/>
    <w:rsid w:val="00883660"/>
    <w:rsid w:val="00886B20"/>
    <w:rsid w:val="00896032"/>
    <w:rsid w:val="008B2F7E"/>
    <w:rsid w:val="008C0A69"/>
    <w:rsid w:val="008C18C7"/>
    <w:rsid w:val="008C6BB3"/>
    <w:rsid w:val="008D5105"/>
    <w:rsid w:val="008E3479"/>
    <w:rsid w:val="008F6A63"/>
    <w:rsid w:val="008F6D08"/>
    <w:rsid w:val="00913149"/>
    <w:rsid w:val="00922A30"/>
    <w:rsid w:val="0093001D"/>
    <w:rsid w:val="0093271F"/>
    <w:rsid w:val="00934289"/>
    <w:rsid w:val="00942008"/>
    <w:rsid w:val="00951FD1"/>
    <w:rsid w:val="00952A68"/>
    <w:rsid w:val="009558DD"/>
    <w:rsid w:val="00971960"/>
    <w:rsid w:val="00996B21"/>
    <w:rsid w:val="00997834"/>
    <w:rsid w:val="009B1C52"/>
    <w:rsid w:val="009B4D8F"/>
    <w:rsid w:val="009C18E3"/>
    <w:rsid w:val="009C2827"/>
    <w:rsid w:val="009C7278"/>
    <w:rsid w:val="009E0640"/>
    <w:rsid w:val="009E66DD"/>
    <w:rsid w:val="009F05A0"/>
    <w:rsid w:val="00A15576"/>
    <w:rsid w:val="00A16CDD"/>
    <w:rsid w:val="00A37ED1"/>
    <w:rsid w:val="00A414BD"/>
    <w:rsid w:val="00A5430C"/>
    <w:rsid w:val="00A55DFB"/>
    <w:rsid w:val="00A61513"/>
    <w:rsid w:val="00A737B0"/>
    <w:rsid w:val="00A85F1F"/>
    <w:rsid w:val="00A96252"/>
    <w:rsid w:val="00AA4122"/>
    <w:rsid w:val="00AA75A1"/>
    <w:rsid w:val="00AA7988"/>
    <w:rsid w:val="00AB208E"/>
    <w:rsid w:val="00AC3AA4"/>
    <w:rsid w:val="00AD0E16"/>
    <w:rsid w:val="00AE3206"/>
    <w:rsid w:val="00AF3150"/>
    <w:rsid w:val="00B1315E"/>
    <w:rsid w:val="00B179D7"/>
    <w:rsid w:val="00B20ECC"/>
    <w:rsid w:val="00B21D46"/>
    <w:rsid w:val="00B2681A"/>
    <w:rsid w:val="00B31F4C"/>
    <w:rsid w:val="00B35449"/>
    <w:rsid w:val="00B37048"/>
    <w:rsid w:val="00B42016"/>
    <w:rsid w:val="00B43E29"/>
    <w:rsid w:val="00B5732F"/>
    <w:rsid w:val="00B5789A"/>
    <w:rsid w:val="00B72EE8"/>
    <w:rsid w:val="00B73BD2"/>
    <w:rsid w:val="00B7583D"/>
    <w:rsid w:val="00BC286D"/>
    <w:rsid w:val="00BC327F"/>
    <w:rsid w:val="00BC4769"/>
    <w:rsid w:val="00BD018E"/>
    <w:rsid w:val="00BD41B4"/>
    <w:rsid w:val="00BD6CDB"/>
    <w:rsid w:val="00BE1E0B"/>
    <w:rsid w:val="00BF4238"/>
    <w:rsid w:val="00C02E4B"/>
    <w:rsid w:val="00C07364"/>
    <w:rsid w:val="00C1580A"/>
    <w:rsid w:val="00C26143"/>
    <w:rsid w:val="00C27435"/>
    <w:rsid w:val="00C30921"/>
    <w:rsid w:val="00C443A7"/>
    <w:rsid w:val="00C45D0B"/>
    <w:rsid w:val="00C46E0A"/>
    <w:rsid w:val="00C55802"/>
    <w:rsid w:val="00C74D6A"/>
    <w:rsid w:val="00C93AD1"/>
    <w:rsid w:val="00CA4D01"/>
    <w:rsid w:val="00CC1F64"/>
    <w:rsid w:val="00CC5B58"/>
    <w:rsid w:val="00CF1D19"/>
    <w:rsid w:val="00CF7D40"/>
    <w:rsid w:val="00D0161B"/>
    <w:rsid w:val="00D16A82"/>
    <w:rsid w:val="00D31DCC"/>
    <w:rsid w:val="00D52843"/>
    <w:rsid w:val="00D73AFD"/>
    <w:rsid w:val="00D87393"/>
    <w:rsid w:val="00D92456"/>
    <w:rsid w:val="00D9416C"/>
    <w:rsid w:val="00DA28BD"/>
    <w:rsid w:val="00DC2BBF"/>
    <w:rsid w:val="00DC41AA"/>
    <w:rsid w:val="00DE5852"/>
    <w:rsid w:val="00DE5EA2"/>
    <w:rsid w:val="00DF159B"/>
    <w:rsid w:val="00E030B0"/>
    <w:rsid w:val="00E03F4B"/>
    <w:rsid w:val="00E345E2"/>
    <w:rsid w:val="00E426F2"/>
    <w:rsid w:val="00E47095"/>
    <w:rsid w:val="00E61CD5"/>
    <w:rsid w:val="00E63AC8"/>
    <w:rsid w:val="00E64F40"/>
    <w:rsid w:val="00E703F2"/>
    <w:rsid w:val="00E70E0D"/>
    <w:rsid w:val="00E752A6"/>
    <w:rsid w:val="00E777B8"/>
    <w:rsid w:val="00E9444F"/>
    <w:rsid w:val="00E94CF1"/>
    <w:rsid w:val="00EA1799"/>
    <w:rsid w:val="00EA572B"/>
    <w:rsid w:val="00EB01BD"/>
    <w:rsid w:val="00EB3B49"/>
    <w:rsid w:val="00ED063B"/>
    <w:rsid w:val="00EE72B4"/>
    <w:rsid w:val="00EF4913"/>
    <w:rsid w:val="00EF4C03"/>
    <w:rsid w:val="00F03392"/>
    <w:rsid w:val="00F15C98"/>
    <w:rsid w:val="00F22D45"/>
    <w:rsid w:val="00F36E4D"/>
    <w:rsid w:val="00F51EBA"/>
    <w:rsid w:val="00F546B1"/>
    <w:rsid w:val="00F60CB0"/>
    <w:rsid w:val="00F64E2A"/>
    <w:rsid w:val="00F65133"/>
    <w:rsid w:val="00F65AAD"/>
    <w:rsid w:val="00F66330"/>
    <w:rsid w:val="00F767D4"/>
    <w:rsid w:val="00F8065C"/>
    <w:rsid w:val="00F83B4B"/>
    <w:rsid w:val="00F83BB3"/>
    <w:rsid w:val="00F93101"/>
    <w:rsid w:val="00FA31F9"/>
    <w:rsid w:val="00FA7777"/>
    <w:rsid w:val="00FB4DC0"/>
    <w:rsid w:val="00FB73A5"/>
    <w:rsid w:val="00FC0199"/>
    <w:rsid w:val="00FC0C5F"/>
    <w:rsid w:val="00FC5ED9"/>
    <w:rsid w:val="00FC7B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B0618"/>
  <w15:docId w15:val="{519BBEA1-8BEB-4332-A884-4CDA56F7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456"/>
  </w:style>
  <w:style w:type="paragraph" w:styleId="Ttulo1">
    <w:name w:val="heading 1"/>
    <w:basedOn w:val="Normal"/>
    <w:next w:val="Normal"/>
    <w:link w:val="Ttulo1Car"/>
    <w:uiPriority w:val="9"/>
    <w:qFormat/>
    <w:rsid w:val="00B758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5C3E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83B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3BB3"/>
  </w:style>
  <w:style w:type="paragraph" w:styleId="Piedepgina">
    <w:name w:val="footer"/>
    <w:basedOn w:val="Normal"/>
    <w:link w:val="PiedepginaCar"/>
    <w:uiPriority w:val="99"/>
    <w:unhideWhenUsed/>
    <w:rsid w:val="00F83B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3BB3"/>
  </w:style>
  <w:style w:type="paragraph" w:styleId="NormalWeb">
    <w:name w:val="Normal (Web)"/>
    <w:basedOn w:val="Normal"/>
    <w:uiPriority w:val="99"/>
    <w:unhideWhenUsed/>
    <w:rsid w:val="0011369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043401"/>
    <w:rPr>
      <w:color w:val="0000FF"/>
      <w:u w:val="single"/>
    </w:rPr>
  </w:style>
  <w:style w:type="paragraph" w:styleId="Prrafodelista">
    <w:name w:val="List Paragraph"/>
    <w:basedOn w:val="Normal"/>
    <w:uiPriority w:val="34"/>
    <w:qFormat/>
    <w:rsid w:val="00253E7E"/>
    <w:pPr>
      <w:spacing w:after="0" w:line="240" w:lineRule="auto"/>
      <w:ind w:left="720"/>
      <w:contextualSpacing/>
    </w:pPr>
    <w:rPr>
      <w:sz w:val="24"/>
      <w:szCs w:val="24"/>
      <w:lang w:val="es-ES_tradnl"/>
    </w:rPr>
  </w:style>
  <w:style w:type="table" w:styleId="Tablaconcuadrcula">
    <w:name w:val="Table Grid"/>
    <w:basedOn w:val="Tablanormal"/>
    <w:uiPriority w:val="39"/>
    <w:rsid w:val="00253E7E"/>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672BE6"/>
  </w:style>
  <w:style w:type="paragraph" w:styleId="Textodeglobo">
    <w:name w:val="Balloon Text"/>
    <w:basedOn w:val="Normal"/>
    <w:link w:val="TextodegloboCar"/>
    <w:uiPriority w:val="99"/>
    <w:semiHidden/>
    <w:unhideWhenUsed/>
    <w:rsid w:val="0088366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3660"/>
    <w:rPr>
      <w:rFonts w:ascii="Tahoma" w:hAnsi="Tahoma" w:cs="Tahoma"/>
      <w:sz w:val="16"/>
      <w:szCs w:val="16"/>
    </w:rPr>
  </w:style>
  <w:style w:type="character" w:customStyle="1" w:styleId="Ttulo1Car">
    <w:name w:val="Título 1 Car"/>
    <w:basedOn w:val="Fuentedeprrafopredeter"/>
    <w:link w:val="Ttulo1"/>
    <w:uiPriority w:val="9"/>
    <w:rsid w:val="00B7583D"/>
    <w:rPr>
      <w:rFonts w:asciiTheme="majorHAnsi" w:eastAsiaTheme="majorEastAsia" w:hAnsiTheme="majorHAnsi" w:cstheme="majorBidi"/>
      <w:color w:val="2E74B5" w:themeColor="accent1" w:themeShade="BF"/>
      <w:sz w:val="32"/>
      <w:szCs w:val="32"/>
    </w:rPr>
  </w:style>
  <w:style w:type="paragraph" w:customStyle="1" w:styleId="Kicker">
    <w:name w:val="Kicker"/>
    <w:rsid w:val="005C3E1F"/>
    <w:pPr>
      <w:spacing w:after="80" w:line="276" w:lineRule="auto"/>
    </w:pPr>
    <w:rPr>
      <w:rFonts w:ascii="Aptos" w:eastAsiaTheme="minorEastAsia" w:hAnsi="Aptos"/>
      <w:b/>
      <w:color w:val="2F75B5"/>
      <w:sz w:val="18"/>
      <w:lang w:val="en-US"/>
    </w:rPr>
  </w:style>
  <w:style w:type="character" w:customStyle="1" w:styleId="Ttulo2Car">
    <w:name w:val="Título 2 Car"/>
    <w:basedOn w:val="Fuentedeprrafopredeter"/>
    <w:link w:val="Ttulo2"/>
    <w:uiPriority w:val="9"/>
    <w:semiHidden/>
    <w:rsid w:val="005C3E1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972624">
      <w:bodyDiv w:val="1"/>
      <w:marLeft w:val="0"/>
      <w:marRight w:val="0"/>
      <w:marTop w:val="0"/>
      <w:marBottom w:val="0"/>
      <w:divBdr>
        <w:top w:val="none" w:sz="0" w:space="0" w:color="auto"/>
        <w:left w:val="none" w:sz="0" w:space="0" w:color="auto"/>
        <w:bottom w:val="none" w:sz="0" w:space="0" w:color="auto"/>
        <w:right w:val="none" w:sz="0" w:space="0" w:color="auto"/>
      </w:divBdr>
    </w:div>
    <w:div w:id="277882262">
      <w:bodyDiv w:val="1"/>
      <w:marLeft w:val="0"/>
      <w:marRight w:val="0"/>
      <w:marTop w:val="0"/>
      <w:marBottom w:val="0"/>
      <w:divBdr>
        <w:top w:val="none" w:sz="0" w:space="0" w:color="auto"/>
        <w:left w:val="none" w:sz="0" w:space="0" w:color="auto"/>
        <w:bottom w:val="none" w:sz="0" w:space="0" w:color="auto"/>
        <w:right w:val="none" w:sz="0" w:space="0" w:color="auto"/>
      </w:divBdr>
    </w:div>
    <w:div w:id="480772226">
      <w:bodyDiv w:val="1"/>
      <w:marLeft w:val="0"/>
      <w:marRight w:val="0"/>
      <w:marTop w:val="0"/>
      <w:marBottom w:val="0"/>
      <w:divBdr>
        <w:top w:val="none" w:sz="0" w:space="0" w:color="auto"/>
        <w:left w:val="none" w:sz="0" w:space="0" w:color="auto"/>
        <w:bottom w:val="none" w:sz="0" w:space="0" w:color="auto"/>
        <w:right w:val="none" w:sz="0" w:space="0" w:color="auto"/>
      </w:divBdr>
    </w:div>
    <w:div w:id="545920497">
      <w:bodyDiv w:val="1"/>
      <w:marLeft w:val="0"/>
      <w:marRight w:val="0"/>
      <w:marTop w:val="0"/>
      <w:marBottom w:val="0"/>
      <w:divBdr>
        <w:top w:val="none" w:sz="0" w:space="0" w:color="auto"/>
        <w:left w:val="none" w:sz="0" w:space="0" w:color="auto"/>
        <w:bottom w:val="none" w:sz="0" w:space="0" w:color="auto"/>
        <w:right w:val="none" w:sz="0" w:space="0" w:color="auto"/>
      </w:divBdr>
      <w:divsChild>
        <w:div w:id="707612215">
          <w:marLeft w:val="0"/>
          <w:marRight w:val="0"/>
          <w:marTop w:val="0"/>
          <w:marBottom w:val="0"/>
          <w:divBdr>
            <w:top w:val="none" w:sz="0" w:space="0" w:color="auto"/>
            <w:left w:val="none" w:sz="0" w:space="0" w:color="auto"/>
            <w:bottom w:val="none" w:sz="0" w:space="0" w:color="auto"/>
            <w:right w:val="none" w:sz="0" w:space="0" w:color="auto"/>
          </w:divBdr>
        </w:div>
      </w:divsChild>
    </w:div>
    <w:div w:id="592974905">
      <w:bodyDiv w:val="1"/>
      <w:marLeft w:val="0"/>
      <w:marRight w:val="0"/>
      <w:marTop w:val="0"/>
      <w:marBottom w:val="0"/>
      <w:divBdr>
        <w:top w:val="none" w:sz="0" w:space="0" w:color="auto"/>
        <w:left w:val="none" w:sz="0" w:space="0" w:color="auto"/>
        <w:bottom w:val="none" w:sz="0" w:space="0" w:color="auto"/>
        <w:right w:val="none" w:sz="0" w:space="0" w:color="auto"/>
      </w:divBdr>
    </w:div>
    <w:div w:id="610012654">
      <w:bodyDiv w:val="1"/>
      <w:marLeft w:val="0"/>
      <w:marRight w:val="0"/>
      <w:marTop w:val="0"/>
      <w:marBottom w:val="0"/>
      <w:divBdr>
        <w:top w:val="none" w:sz="0" w:space="0" w:color="auto"/>
        <w:left w:val="none" w:sz="0" w:space="0" w:color="auto"/>
        <w:bottom w:val="none" w:sz="0" w:space="0" w:color="auto"/>
        <w:right w:val="none" w:sz="0" w:space="0" w:color="auto"/>
      </w:divBdr>
      <w:divsChild>
        <w:div w:id="1035471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213297">
              <w:marLeft w:val="0"/>
              <w:marRight w:val="0"/>
              <w:marTop w:val="0"/>
              <w:marBottom w:val="0"/>
              <w:divBdr>
                <w:top w:val="none" w:sz="0" w:space="0" w:color="auto"/>
                <w:left w:val="none" w:sz="0" w:space="0" w:color="auto"/>
                <w:bottom w:val="none" w:sz="0" w:space="0" w:color="auto"/>
                <w:right w:val="none" w:sz="0" w:space="0" w:color="auto"/>
              </w:divBdr>
              <w:divsChild>
                <w:div w:id="7827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7537">
      <w:bodyDiv w:val="1"/>
      <w:marLeft w:val="0"/>
      <w:marRight w:val="0"/>
      <w:marTop w:val="0"/>
      <w:marBottom w:val="0"/>
      <w:divBdr>
        <w:top w:val="none" w:sz="0" w:space="0" w:color="auto"/>
        <w:left w:val="none" w:sz="0" w:space="0" w:color="auto"/>
        <w:bottom w:val="none" w:sz="0" w:space="0" w:color="auto"/>
        <w:right w:val="none" w:sz="0" w:space="0" w:color="auto"/>
      </w:divBdr>
    </w:div>
    <w:div w:id="819544047">
      <w:bodyDiv w:val="1"/>
      <w:marLeft w:val="0"/>
      <w:marRight w:val="0"/>
      <w:marTop w:val="0"/>
      <w:marBottom w:val="0"/>
      <w:divBdr>
        <w:top w:val="none" w:sz="0" w:space="0" w:color="auto"/>
        <w:left w:val="none" w:sz="0" w:space="0" w:color="auto"/>
        <w:bottom w:val="none" w:sz="0" w:space="0" w:color="auto"/>
        <w:right w:val="none" w:sz="0" w:space="0" w:color="auto"/>
      </w:divBdr>
    </w:div>
    <w:div w:id="825121977">
      <w:bodyDiv w:val="1"/>
      <w:marLeft w:val="0"/>
      <w:marRight w:val="0"/>
      <w:marTop w:val="0"/>
      <w:marBottom w:val="0"/>
      <w:divBdr>
        <w:top w:val="none" w:sz="0" w:space="0" w:color="auto"/>
        <w:left w:val="none" w:sz="0" w:space="0" w:color="auto"/>
        <w:bottom w:val="none" w:sz="0" w:space="0" w:color="auto"/>
        <w:right w:val="none" w:sz="0" w:space="0" w:color="auto"/>
      </w:divBdr>
    </w:div>
    <w:div w:id="986978867">
      <w:bodyDiv w:val="1"/>
      <w:marLeft w:val="0"/>
      <w:marRight w:val="0"/>
      <w:marTop w:val="0"/>
      <w:marBottom w:val="0"/>
      <w:divBdr>
        <w:top w:val="none" w:sz="0" w:space="0" w:color="auto"/>
        <w:left w:val="none" w:sz="0" w:space="0" w:color="auto"/>
        <w:bottom w:val="none" w:sz="0" w:space="0" w:color="auto"/>
        <w:right w:val="none" w:sz="0" w:space="0" w:color="auto"/>
      </w:divBdr>
    </w:div>
    <w:div w:id="993145089">
      <w:bodyDiv w:val="1"/>
      <w:marLeft w:val="0"/>
      <w:marRight w:val="0"/>
      <w:marTop w:val="0"/>
      <w:marBottom w:val="0"/>
      <w:divBdr>
        <w:top w:val="none" w:sz="0" w:space="0" w:color="auto"/>
        <w:left w:val="none" w:sz="0" w:space="0" w:color="auto"/>
        <w:bottom w:val="none" w:sz="0" w:space="0" w:color="auto"/>
        <w:right w:val="none" w:sz="0" w:space="0" w:color="auto"/>
      </w:divBdr>
    </w:div>
    <w:div w:id="1032807624">
      <w:bodyDiv w:val="1"/>
      <w:marLeft w:val="0"/>
      <w:marRight w:val="0"/>
      <w:marTop w:val="0"/>
      <w:marBottom w:val="0"/>
      <w:divBdr>
        <w:top w:val="none" w:sz="0" w:space="0" w:color="auto"/>
        <w:left w:val="none" w:sz="0" w:space="0" w:color="auto"/>
        <w:bottom w:val="none" w:sz="0" w:space="0" w:color="auto"/>
        <w:right w:val="none" w:sz="0" w:space="0" w:color="auto"/>
      </w:divBdr>
    </w:div>
    <w:div w:id="1037974694">
      <w:bodyDiv w:val="1"/>
      <w:marLeft w:val="0"/>
      <w:marRight w:val="0"/>
      <w:marTop w:val="0"/>
      <w:marBottom w:val="0"/>
      <w:divBdr>
        <w:top w:val="none" w:sz="0" w:space="0" w:color="auto"/>
        <w:left w:val="none" w:sz="0" w:space="0" w:color="auto"/>
        <w:bottom w:val="none" w:sz="0" w:space="0" w:color="auto"/>
        <w:right w:val="none" w:sz="0" w:space="0" w:color="auto"/>
      </w:divBdr>
      <w:divsChild>
        <w:div w:id="312687983">
          <w:marLeft w:val="0"/>
          <w:marRight w:val="0"/>
          <w:marTop w:val="0"/>
          <w:marBottom w:val="0"/>
          <w:divBdr>
            <w:top w:val="none" w:sz="0" w:space="0" w:color="auto"/>
            <w:left w:val="none" w:sz="0" w:space="0" w:color="auto"/>
            <w:bottom w:val="none" w:sz="0" w:space="0" w:color="auto"/>
            <w:right w:val="none" w:sz="0" w:space="0" w:color="auto"/>
          </w:divBdr>
        </w:div>
        <w:div w:id="1821118388">
          <w:marLeft w:val="0"/>
          <w:marRight w:val="0"/>
          <w:marTop w:val="0"/>
          <w:marBottom w:val="0"/>
          <w:divBdr>
            <w:top w:val="none" w:sz="0" w:space="0" w:color="auto"/>
            <w:left w:val="none" w:sz="0" w:space="0" w:color="auto"/>
            <w:bottom w:val="none" w:sz="0" w:space="0" w:color="auto"/>
            <w:right w:val="none" w:sz="0" w:space="0" w:color="auto"/>
          </w:divBdr>
        </w:div>
        <w:div w:id="2037465394">
          <w:marLeft w:val="0"/>
          <w:marRight w:val="0"/>
          <w:marTop w:val="0"/>
          <w:marBottom w:val="0"/>
          <w:divBdr>
            <w:top w:val="none" w:sz="0" w:space="0" w:color="auto"/>
            <w:left w:val="none" w:sz="0" w:space="0" w:color="auto"/>
            <w:bottom w:val="none" w:sz="0" w:space="0" w:color="auto"/>
            <w:right w:val="none" w:sz="0" w:space="0" w:color="auto"/>
          </w:divBdr>
        </w:div>
        <w:div w:id="28267894">
          <w:marLeft w:val="0"/>
          <w:marRight w:val="0"/>
          <w:marTop w:val="0"/>
          <w:marBottom w:val="0"/>
          <w:divBdr>
            <w:top w:val="none" w:sz="0" w:space="0" w:color="auto"/>
            <w:left w:val="none" w:sz="0" w:space="0" w:color="auto"/>
            <w:bottom w:val="none" w:sz="0" w:space="0" w:color="auto"/>
            <w:right w:val="none" w:sz="0" w:space="0" w:color="auto"/>
          </w:divBdr>
          <w:divsChild>
            <w:div w:id="535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7840">
      <w:bodyDiv w:val="1"/>
      <w:marLeft w:val="0"/>
      <w:marRight w:val="0"/>
      <w:marTop w:val="0"/>
      <w:marBottom w:val="0"/>
      <w:divBdr>
        <w:top w:val="none" w:sz="0" w:space="0" w:color="auto"/>
        <w:left w:val="none" w:sz="0" w:space="0" w:color="auto"/>
        <w:bottom w:val="none" w:sz="0" w:space="0" w:color="auto"/>
        <w:right w:val="none" w:sz="0" w:space="0" w:color="auto"/>
      </w:divBdr>
    </w:div>
    <w:div w:id="1225261815">
      <w:bodyDiv w:val="1"/>
      <w:marLeft w:val="0"/>
      <w:marRight w:val="0"/>
      <w:marTop w:val="0"/>
      <w:marBottom w:val="0"/>
      <w:divBdr>
        <w:top w:val="none" w:sz="0" w:space="0" w:color="auto"/>
        <w:left w:val="none" w:sz="0" w:space="0" w:color="auto"/>
        <w:bottom w:val="none" w:sz="0" w:space="0" w:color="auto"/>
        <w:right w:val="none" w:sz="0" w:space="0" w:color="auto"/>
      </w:divBdr>
      <w:divsChild>
        <w:div w:id="560486378">
          <w:marLeft w:val="0"/>
          <w:marRight w:val="0"/>
          <w:marTop w:val="0"/>
          <w:marBottom w:val="0"/>
          <w:divBdr>
            <w:top w:val="none" w:sz="0" w:space="0" w:color="auto"/>
            <w:left w:val="none" w:sz="0" w:space="0" w:color="auto"/>
            <w:bottom w:val="none" w:sz="0" w:space="0" w:color="auto"/>
            <w:right w:val="none" w:sz="0" w:space="0" w:color="auto"/>
          </w:divBdr>
          <w:divsChild>
            <w:div w:id="1984237270">
              <w:marLeft w:val="0"/>
              <w:marRight w:val="0"/>
              <w:marTop w:val="0"/>
              <w:marBottom w:val="0"/>
              <w:divBdr>
                <w:top w:val="none" w:sz="0" w:space="0" w:color="auto"/>
                <w:left w:val="none" w:sz="0" w:space="0" w:color="auto"/>
                <w:bottom w:val="none" w:sz="0" w:space="0" w:color="auto"/>
                <w:right w:val="none" w:sz="0" w:space="0" w:color="auto"/>
              </w:divBdr>
              <w:divsChild>
                <w:div w:id="316154101">
                  <w:marLeft w:val="0"/>
                  <w:marRight w:val="0"/>
                  <w:marTop w:val="0"/>
                  <w:marBottom w:val="0"/>
                  <w:divBdr>
                    <w:top w:val="none" w:sz="0" w:space="0" w:color="auto"/>
                    <w:left w:val="none" w:sz="0" w:space="0" w:color="auto"/>
                    <w:bottom w:val="none" w:sz="0" w:space="0" w:color="auto"/>
                    <w:right w:val="none" w:sz="0" w:space="0" w:color="auto"/>
                  </w:divBdr>
                  <w:divsChild>
                    <w:div w:id="14813989">
                      <w:marLeft w:val="0"/>
                      <w:marRight w:val="0"/>
                      <w:marTop w:val="0"/>
                      <w:marBottom w:val="0"/>
                      <w:divBdr>
                        <w:top w:val="none" w:sz="0" w:space="0" w:color="auto"/>
                        <w:left w:val="none" w:sz="0" w:space="0" w:color="auto"/>
                        <w:bottom w:val="none" w:sz="0" w:space="0" w:color="auto"/>
                        <w:right w:val="none" w:sz="0" w:space="0" w:color="auto"/>
                      </w:divBdr>
                      <w:divsChild>
                        <w:div w:id="30808543">
                          <w:marLeft w:val="0"/>
                          <w:marRight w:val="0"/>
                          <w:marTop w:val="0"/>
                          <w:marBottom w:val="0"/>
                          <w:divBdr>
                            <w:top w:val="none" w:sz="0" w:space="0" w:color="auto"/>
                            <w:left w:val="none" w:sz="0" w:space="0" w:color="auto"/>
                            <w:bottom w:val="none" w:sz="0" w:space="0" w:color="auto"/>
                            <w:right w:val="none" w:sz="0" w:space="0" w:color="auto"/>
                          </w:divBdr>
                          <w:divsChild>
                            <w:div w:id="1807892484">
                              <w:marLeft w:val="0"/>
                              <w:marRight w:val="0"/>
                              <w:marTop w:val="0"/>
                              <w:marBottom w:val="0"/>
                              <w:divBdr>
                                <w:top w:val="none" w:sz="0" w:space="0" w:color="auto"/>
                                <w:left w:val="none" w:sz="0" w:space="0" w:color="auto"/>
                                <w:bottom w:val="none" w:sz="0" w:space="0" w:color="auto"/>
                                <w:right w:val="none" w:sz="0" w:space="0" w:color="auto"/>
                              </w:divBdr>
                              <w:divsChild>
                                <w:div w:id="701587696">
                                  <w:marLeft w:val="0"/>
                                  <w:marRight w:val="0"/>
                                  <w:marTop w:val="0"/>
                                  <w:marBottom w:val="0"/>
                                  <w:divBdr>
                                    <w:top w:val="none" w:sz="0" w:space="0" w:color="auto"/>
                                    <w:left w:val="none" w:sz="0" w:space="0" w:color="auto"/>
                                    <w:bottom w:val="none" w:sz="0" w:space="0" w:color="auto"/>
                                    <w:right w:val="none" w:sz="0" w:space="0" w:color="auto"/>
                                  </w:divBdr>
                                  <w:divsChild>
                                    <w:div w:id="3419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821374">
      <w:bodyDiv w:val="1"/>
      <w:marLeft w:val="0"/>
      <w:marRight w:val="0"/>
      <w:marTop w:val="0"/>
      <w:marBottom w:val="0"/>
      <w:divBdr>
        <w:top w:val="none" w:sz="0" w:space="0" w:color="auto"/>
        <w:left w:val="none" w:sz="0" w:space="0" w:color="auto"/>
        <w:bottom w:val="none" w:sz="0" w:space="0" w:color="auto"/>
        <w:right w:val="none" w:sz="0" w:space="0" w:color="auto"/>
      </w:divBdr>
    </w:div>
    <w:div w:id="1552771091">
      <w:bodyDiv w:val="1"/>
      <w:marLeft w:val="0"/>
      <w:marRight w:val="0"/>
      <w:marTop w:val="0"/>
      <w:marBottom w:val="0"/>
      <w:divBdr>
        <w:top w:val="none" w:sz="0" w:space="0" w:color="auto"/>
        <w:left w:val="none" w:sz="0" w:space="0" w:color="auto"/>
        <w:bottom w:val="none" w:sz="0" w:space="0" w:color="auto"/>
        <w:right w:val="none" w:sz="0" w:space="0" w:color="auto"/>
      </w:divBdr>
    </w:div>
    <w:div w:id="1628461998">
      <w:bodyDiv w:val="1"/>
      <w:marLeft w:val="0"/>
      <w:marRight w:val="0"/>
      <w:marTop w:val="0"/>
      <w:marBottom w:val="0"/>
      <w:divBdr>
        <w:top w:val="none" w:sz="0" w:space="0" w:color="auto"/>
        <w:left w:val="none" w:sz="0" w:space="0" w:color="auto"/>
        <w:bottom w:val="none" w:sz="0" w:space="0" w:color="auto"/>
        <w:right w:val="none" w:sz="0" w:space="0" w:color="auto"/>
      </w:divBdr>
    </w:div>
    <w:div w:id="1692299789">
      <w:bodyDiv w:val="1"/>
      <w:marLeft w:val="0"/>
      <w:marRight w:val="0"/>
      <w:marTop w:val="0"/>
      <w:marBottom w:val="0"/>
      <w:divBdr>
        <w:top w:val="none" w:sz="0" w:space="0" w:color="auto"/>
        <w:left w:val="none" w:sz="0" w:space="0" w:color="auto"/>
        <w:bottom w:val="none" w:sz="0" w:space="0" w:color="auto"/>
        <w:right w:val="none" w:sz="0" w:space="0" w:color="auto"/>
      </w:divBdr>
    </w:div>
    <w:div w:id="1923445128">
      <w:bodyDiv w:val="1"/>
      <w:marLeft w:val="0"/>
      <w:marRight w:val="0"/>
      <w:marTop w:val="0"/>
      <w:marBottom w:val="0"/>
      <w:divBdr>
        <w:top w:val="none" w:sz="0" w:space="0" w:color="auto"/>
        <w:left w:val="none" w:sz="0" w:space="0" w:color="auto"/>
        <w:bottom w:val="none" w:sz="0" w:space="0" w:color="auto"/>
        <w:right w:val="none" w:sz="0" w:space="0" w:color="auto"/>
      </w:divBdr>
      <w:divsChild>
        <w:div w:id="684943964">
          <w:marLeft w:val="0"/>
          <w:marRight w:val="0"/>
          <w:marTop w:val="0"/>
          <w:marBottom w:val="0"/>
          <w:divBdr>
            <w:top w:val="none" w:sz="0" w:space="0" w:color="auto"/>
            <w:left w:val="none" w:sz="0" w:space="0" w:color="auto"/>
            <w:bottom w:val="none" w:sz="0" w:space="0" w:color="auto"/>
            <w:right w:val="none" w:sz="0" w:space="0" w:color="auto"/>
          </w:divBdr>
        </w:div>
        <w:div w:id="1509370088">
          <w:marLeft w:val="0"/>
          <w:marRight w:val="0"/>
          <w:marTop w:val="0"/>
          <w:marBottom w:val="0"/>
          <w:divBdr>
            <w:top w:val="none" w:sz="0" w:space="0" w:color="auto"/>
            <w:left w:val="none" w:sz="0" w:space="0" w:color="auto"/>
            <w:bottom w:val="none" w:sz="0" w:space="0" w:color="auto"/>
            <w:right w:val="none" w:sz="0" w:space="0" w:color="auto"/>
          </w:divBdr>
          <w:divsChild>
            <w:div w:id="1511485837">
              <w:marLeft w:val="0"/>
              <w:marRight w:val="0"/>
              <w:marTop w:val="0"/>
              <w:marBottom w:val="0"/>
              <w:divBdr>
                <w:top w:val="none" w:sz="0" w:space="0" w:color="auto"/>
                <w:left w:val="none" w:sz="0" w:space="0" w:color="auto"/>
                <w:bottom w:val="none" w:sz="0" w:space="0" w:color="auto"/>
                <w:right w:val="none" w:sz="0" w:space="0" w:color="auto"/>
              </w:divBdr>
              <w:divsChild>
                <w:div w:id="1629702489">
                  <w:marLeft w:val="0"/>
                  <w:marRight w:val="0"/>
                  <w:marTop w:val="0"/>
                  <w:marBottom w:val="0"/>
                  <w:divBdr>
                    <w:top w:val="none" w:sz="0" w:space="0" w:color="auto"/>
                    <w:left w:val="none" w:sz="0" w:space="0" w:color="auto"/>
                    <w:bottom w:val="none" w:sz="0" w:space="0" w:color="auto"/>
                    <w:right w:val="none" w:sz="0" w:space="0" w:color="auto"/>
                  </w:divBdr>
                </w:div>
                <w:div w:id="1855265756">
                  <w:marLeft w:val="0"/>
                  <w:marRight w:val="0"/>
                  <w:marTop w:val="0"/>
                  <w:marBottom w:val="0"/>
                  <w:divBdr>
                    <w:top w:val="none" w:sz="0" w:space="0" w:color="auto"/>
                    <w:left w:val="none" w:sz="0" w:space="0" w:color="auto"/>
                    <w:bottom w:val="none" w:sz="0" w:space="0" w:color="auto"/>
                    <w:right w:val="none" w:sz="0" w:space="0" w:color="auto"/>
                  </w:divBdr>
                </w:div>
                <w:div w:id="1299650174">
                  <w:marLeft w:val="0"/>
                  <w:marRight w:val="0"/>
                  <w:marTop w:val="0"/>
                  <w:marBottom w:val="0"/>
                  <w:divBdr>
                    <w:top w:val="none" w:sz="0" w:space="0" w:color="auto"/>
                    <w:left w:val="none" w:sz="0" w:space="0" w:color="auto"/>
                    <w:bottom w:val="none" w:sz="0" w:space="0" w:color="auto"/>
                    <w:right w:val="none" w:sz="0" w:space="0" w:color="auto"/>
                  </w:divBdr>
                </w:div>
                <w:div w:id="2095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0369">
      <w:bodyDiv w:val="1"/>
      <w:marLeft w:val="0"/>
      <w:marRight w:val="0"/>
      <w:marTop w:val="0"/>
      <w:marBottom w:val="0"/>
      <w:divBdr>
        <w:top w:val="none" w:sz="0" w:space="0" w:color="auto"/>
        <w:left w:val="none" w:sz="0" w:space="0" w:color="auto"/>
        <w:bottom w:val="none" w:sz="0" w:space="0" w:color="auto"/>
        <w:right w:val="none" w:sz="0" w:space="0" w:color="auto"/>
      </w:divBdr>
    </w:div>
    <w:div w:id="205029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gi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3844</Words>
  <Characters>21147</Characters>
  <Application>Microsoft Office Word</Application>
  <DocSecurity>0</DocSecurity>
  <Lines>176</Lines>
  <Paragraphs>49</Paragraphs>
  <ScaleCrop>false</ScaleCrop>
  <HeadingPairs>
    <vt:vector size="4" baseType="variant">
      <vt:variant>
        <vt:lpstr>Título</vt:lpstr>
      </vt:variant>
      <vt:variant>
        <vt:i4>1</vt:i4>
      </vt:variant>
      <vt:variant>
        <vt:lpstr>Títulos</vt:lpstr>
      </vt:variant>
      <vt:variant>
        <vt:i4>14</vt:i4>
      </vt:variant>
    </vt:vector>
  </HeadingPairs>
  <TitlesOfParts>
    <vt:vector size="15" baseType="lpstr">
      <vt:lpstr/>
      <vt:lpstr>    </vt:lpstr>
      <vt:lpstr>    Índice</vt:lpstr>
      <vt:lpstr>1. Transferencia al Sistema Nacional de Salud</vt:lpstr>
      <vt:lpstr>    1.1. Estrategias, planes y registros que ordenan la atención</vt:lpstr>
      <vt:lpstr>    1.2. Atención prehospitalaria: cambiar lo que ocurre antes de llegar al hospital</vt:lpstr>
      <vt:lpstr>    1.3. Protocolos y circuitos asistenciales implantados</vt:lpstr>
      <vt:lpstr>    1.4. Prevención, continuidad y atención centrada en la persona</vt:lpstr>
      <vt:lpstr>2. Transferencia tecnológica e industrial</vt:lpstr>
      <vt:lpstr>    2.1. ApTOLL: de la investigación académica al desarrollo empresarial</vt:lpstr>
      <vt:lpstr>    2.2. rGOT: propiedad industrial, validación multicéntrica y negociación con indu</vt:lpstr>
      <vt:lpstr>    2.3. Apotransferrina: codesarrollo con empresa y diagnóstico point-of-care</vt:lpstr>
      <vt:lpstr>    2.4. RACE-PLUS y RUSH-PoC: herramientas prehospitalarias en camino regulatorio</vt:lpstr>
      <vt:lpstr>    2.5. Biomarcadores de estenosis carotídea: valorización, regulación y mercado</vt:lpstr>
      <vt:lpstr>    2.6. Patentes, licencias y software protegido</vt:lpstr>
    </vt:vector>
  </TitlesOfParts>
  <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PRADILLO</dc:creator>
  <cp:keywords/>
  <dc:description/>
  <cp:lastModifiedBy>Lidia</cp:lastModifiedBy>
  <cp:revision>7</cp:revision>
  <cp:lastPrinted>2026-02-03T10:19:00Z</cp:lastPrinted>
  <dcterms:created xsi:type="dcterms:W3CDTF">2026-09-13T10:18:00Z</dcterms:created>
  <dcterms:modified xsi:type="dcterms:W3CDTF">2026-09-13T10:56:00Z</dcterms:modified>
</cp:coreProperties>
</file>